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DBDB"/>
  <w:body>
    <w:p w:rsidR="005D0A28" w:rsidRDefault="005D0A28">
      <w:pPr>
        <w:spacing w:after="0" w:line="240" w:lineRule="auto"/>
        <w:rPr>
          <w:rFonts w:ascii="Times New Roman" w:eastAsia="Times New Roman" w:hAnsi="Times New Roman" w:cs="Times New Roman"/>
          <w:sz w:val="24"/>
          <w:szCs w:val="24"/>
        </w:rPr>
      </w:pPr>
      <w:bookmarkStart w:id="0" w:name="_heading=h.30j0zll" w:colFirst="0" w:colLast="0"/>
      <w:bookmarkEnd w:id="0"/>
    </w:p>
    <w:p w:rsidR="005D0A28" w:rsidRDefault="00D87929">
      <w:pPr>
        <w:spacing w:after="0" w:line="240" w:lineRule="auto"/>
        <w:jc w:val="center"/>
        <w:rPr>
          <w:b/>
          <w:color w:val="4A452A"/>
          <w:sz w:val="32"/>
          <w:szCs w:val="32"/>
        </w:rPr>
      </w:pPr>
      <w:r>
        <w:rPr>
          <w:b/>
          <w:color w:val="4A452A"/>
          <w:sz w:val="32"/>
          <w:szCs w:val="32"/>
        </w:rPr>
        <w:t>PLAN ANTICORRUPCIÓN Y DE ATENCION AL CIUDADANO - PAAC</w:t>
      </w:r>
    </w:p>
    <w:p w:rsidR="005D0A28" w:rsidRDefault="00D87929">
      <w:pPr>
        <w:spacing w:after="0" w:line="240" w:lineRule="auto"/>
        <w:jc w:val="center"/>
        <w:rPr>
          <w:b/>
          <w:color w:val="4A452A"/>
          <w:sz w:val="32"/>
          <w:szCs w:val="32"/>
        </w:rPr>
      </w:pPr>
      <w:r>
        <w:rPr>
          <w:b/>
          <w:color w:val="4A452A"/>
          <w:sz w:val="32"/>
          <w:szCs w:val="32"/>
        </w:rPr>
        <w:t>VIGENCIA 2023</w:t>
      </w:r>
    </w:p>
    <w:p w:rsidR="005D0A28" w:rsidRDefault="005D0A28">
      <w:pPr>
        <w:spacing w:after="0" w:line="240" w:lineRule="auto"/>
        <w:rPr>
          <w:rFonts w:ascii="Times New Roman" w:eastAsia="Times New Roman" w:hAnsi="Times New Roman" w:cs="Times New Roman"/>
          <w:sz w:val="24"/>
          <w:szCs w:val="24"/>
        </w:rPr>
      </w:pPr>
    </w:p>
    <w:tbl>
      <w:tblPr>
        <w:tblStyle w:val="aa"/>
        <w:tblW w:w="19802" w:type="dxa"/>
        <w:tblInd w:w="-70" w:type="dxa"/>
        <w:tblLayout w:type="fixed"/>
        <w:tblLook w:val="0400" w:firstRow="0" w:lastRow="0" w:firstColumn="0" w:lastColumn="0" w:noHBand="0" w:noVBand="1"/>
      </w:tblPr>
      <w:tblGrid>
        <w:gridCol w:w="253"/>
        <w:gridCol w:w="2787"/>
        <w:gridCol w:w="630"/>
        <w:gridCol w:w="3675"/>
        <w:gridCol w:w="5059"/>
        <w:gridCol w:w="2730"/>
        <w:gridCol w:w="2334"/>
        <w:gridCol w:w="2334"/>
      </w:tblGrid>
      <w:tr w:rsidR="005D0A28">
        <w:trPr>
          <w:gridAfter w:val="1"/>
          <w:wAfter w:w="2334" w:type="dxa"/>
          <w:trHeight w:val="330"/>
        </w:trPr>
        <w:tc>
          <w:tcPr>
            <w:tcW w:w="17468" w:type="dxa"/>
            <w:gridSpan w:val="7"/>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bottom"/>
          </w:tcPr>
          <w:p w:rsidR="005D0A28" w:rsidRDefault="00D87929">
            <w:pPr>
              <w:spacing w:after="0" w:line="240" w:lineRule="auto"/>
              <w:jc w:val="center"/>
              <w:rPr>
                <w:color w:val="FFFFFF"/>
                <w:sz w:val="32"/>
                <w:szCs w:val="32"/>
              </w:rPr>
            </w:pPr>
            <w:r>
              <w:rPr>
                <w:b/>
                <w:color w:val="FFFFFF"/>
                <w:sz w:val="32"/>
                <w:szCs w:val="32"/>
              </w:rPr>
              <w:t>COMPONENTE 1: GESTIÓN DE RIESGO DE CORRUPCIÓN</w:t>
            </w:r>
          </w:p>
        </w:tc>
      </w:tr>
      <w:tr w:rsidR="005D0A28">
        <w:trPr>
          <w:gridAfter w:val="1"/>
          <w:wAfter w:w="2334" w:type="dxa"/>
          <w:trHeight w:val="960"/>
        </w:trPr>
        <w:tc>
          <w:tcPr>
            <w:tcW w:w="3040" w:type="dxa"/>
            <w:gridSpan w:val="2"/>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Arial" w:eastAsia="Arial" w:hAnsi="Arial" w:cs="Arial"/>
                <w:color w:val="F2DCDB"/>
                <w:sz w:val="24"/>
                <w:szCs w:val="24"/>
              </w:rPr>
            </w:pPr>
            <w:r>
              <w:rPr>
                <w:rFonts w:ascii="Arial" w:eastAsia="Arial" w:hAnsi="Arial" w:cs="Arial"/>
                <w:b/>
                <w:color w:val="FFFFFF"/>
                <w:sz w:val="24"/>
                <w:szCs w:val="24"/>
              </w:rPr>
              <w:t>SUBCOMPONENTE</w:t>
            </w:r>
          </w:p>
        </w:tc>
        <w:tc>
          <w:tcPr>
            <w:tcW w:w="4305" w:type="dxa"/>
            <w:gridSpan w:val="2"/>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ACTIVIDADES</w:t>
            </w:r>
          </w:p>
        </w:tc>
        <w:tc>
          <w:tcPr>
            <w:tcW w:w="5059" w:type="dxa"/>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META DEL PRODUCTO</w:t>
            </w:r>
          </w:p>
        </w:tc>
        <w:tc>
          <w:tcPr>
            <w:tcW w:w="2730" w:type="dxa"/>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RESPONSABLE</w:t>
            </w:r>
          </w:p>
        </w:tc>
        <w:tc>
          <w:tcPr>
            <w:tcW w:w="2334" w:type="dxa"/>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FECHA PROGRAMADA DE EJECUCIÓN</w:t>
            </w:r>
          </w:p>
        </w:tc>
      </w:tr>
      <w:tr w:rsidR="005D0A28">
        <w:trPr>
          <w:gridAfter w:val="1"/>
          <w:wAfter w:w="2334" w:type="dxa"/>
          <w:trHeight w:val="1260"/>
        </w:trPr>
        <w:tc>
          <w:tcPr>
            <w:tcW w:w="253" w:type="dxa"/>
            <w:vMerge w:val="restart"/>
            <w:tcBorders>
              <w:top w:val="single" w:sz="8" w:space="0" w:color="000000"/>
              <w:left w:val="single" w:sz="8" w:space="0" w:color="000000"/>
              <w:bottom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b/>
                <w:color w:val="FFFFFF"/>
                <w:sz w:val="28"/>
                <w:szCs w:val="28"/>
              </w:rPr>
            </w:pPr>
            <w:r>
              <w:rPr>
                <w:b/>
                <w:color w:val="FFFFFF"/>
                <w:sz w:val="28"/>
                <w:szCs w:val="28"/>
              </w:rPr>
              <w:t>1</w:t>
            </w:r>
          </w:p>
        </w:tc>
        <w:tc>
          <w:tcPr>
            <w:tcW w:w="2787" w:type="dxa"/>
            <w:vMerge w:val="restart"/>
            <w:tcBorders>
              <w:top w:val="single" w:sz="8" w:space="0" w:color="000000"/>
              <w:left w:val="single" w:sz="4" w:space="0" w:color="000000"/>
              <w:bottom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rPr>
                <w:rFonts w:ascii="Times New Roman" w:eastAsia="Times New Roman" w:hAnsi="Times New Roman" w:cs="Times New Roman"/>
                <w:color w:val="FFFFFF"/>
                <w:sz w:val="28"/>
                <w:szCs w:val="28"/>
              </w:rPr>
            </w:pPr>
            <w:r>
              <w:rPr>
                <w:b/>
                <w:color w:val="FFFFFF"/>
                <w:sz w:val="28"/>
                <w:szCs w:val="28"/>
              </w:rPr>
              <w:t>Política de Administración del Riesgo</w:t>
            </w:r>
          </w:p>
        </w:tc>
        <w:tc>
          <w:tcPr>
            <w:tcW w:w="630" w:type="dxa"/>
            <w:tcBorders>
              <w:top w:val="single" w:sz="8"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color w:val="000000"/>
              </w:rPr>
            </w:pPr>
            <w:r>
              <w:rPr>
                <w:b/>
                <w:color w:val="000000"/>
              </w:rPr>
              <w:t>1.</w:t>
            </w:r>
            <w:r>
              <w:rPr>
                <w:b/>
              </w:rPr>
              <w:t>1</w:t>
            </w:r>
          </w:p>
        </w:tc>
        <w:tc>
          <w:tcPr>
            <w:tcW w:w="3675" w:type="dxa"/>
            <w:tcBorders>
              <w:top w:val="single" w:sz="8"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Realizar la identificación de los riesgos del proyectos</w:t>
            </w:r>
          </w:p>
        </w:tc>
        <w:tc>
          <w:tcPr>
            <w:tcW w:w="5059" w:type="dxa"/>
            <w:tcBorders>
              <w:top w:val="single" w:sz="8"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Proyectos viabilizados con identificación de los riesgos inherentes a estos</w:t>
            </w:r>
          </w:p>
        </w:tc>
        <w:tc>
          <w:tcPr>
            <w:tcW w:w="2730" w:type="dxa"/>
            <w:tcBorders>
              <w:top w:val="single" w:sz="8"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Oficina Asesora de Planeación – Área Funcional de Banco de Proyectos</w:t>
            </w:r>
          </w:p>
        </w:tc>
        <w:tc>
          <w:tcPr>
            <w:tcW w:w="2334" w:type="dxa"/>
            <w:tcBorders>
              <w:top w:val="single" w:sz="8"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right"/>
            </w:pPr>
            <w:r>
              <w:rPr>
                <w:color w:val="000000"/>
              </w:rPr>
              <w:t>Enero-diciembre de 202</w:t>
            </w:r>
            <w:r>
              <w:t>3</w:t>
            </w:r>
          </w:p>
        </w:tc>
      </w:tr>
      <w:tr w:rsidR="005D0A28">
        <w:trPr>
          <w:gridAfter w:val="1"/>
          <w:wAfter w:w="2334" w:type="dxa"/>
          <w:trHeight w:val="1260"/>
        </w:trPr>
        <w:tc>
          <w:tcPr>
            <w:tcW w:w="253" w:type="dxa"/>
            <w:vMerge/>
            <w:tcBorders>
              <w:top w:val="single" w:sz="8" w:space="0" w:color="000000"/>
              <w:left w:val="single" w:sz="8" w:space="0" w:color="000000"/>
              <w:bottom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2787" w:type="dxa"/>
            <w:vMerge/>
            <w:tcBorders>
              <w:top w:val="single" w:sz="8" w:space="0" w:color="000000"/>
              <w:left w:val="single" w:sz="4" w:space="0" w:color="000000"/>
              <w:bottom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630" w:type="dxa"/>
            <w:tcBorders>
              <w:top w:val="single" w:sz="8"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color w:val="000000"/>
              </w:rPr>
            </w:pPr>
            <w:r>
              <w:rPr>
                <w:b/>
                <w:color w:val="000000"/>
              </w:rPr>
              <w:t>1.</w:t>
            </w:r>
            <w:r>
              <w:rPr>
                <w:b/>
              </w:rPr>
              <w:t>2</w:t>
            </w:r>
          </w:p>
        </w:tc>
        <w:tc>
          <w:tcPr>
            <w:tcW w:w="3675" w:type="dxa"/>
            <w:tcBorders>
              <w:top w:val="single" w:sz="8"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Capacitación en Política de Administración de Riesgos dictada a funcionarios y contratistas de la Gobernación del Magdalena.</w:t>
            </w:r>
          </w:p>
        </w:tc>
        <w:tc>
          <w:tcPr>
            <w:tcW w:w="5059" w:type="dxa"/>
            <w:tcBorders>
              <w:top w:val="single" w:sz="8"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Capacitación dictada</w:t>
            </w:r>
          </w:p>
        </w:tc>
        <w:tc>
          <w:tcPr>
            <w:tcW w:w="2730" w:type="dxa"/>
            <w:tcBorders>
              <w:top w:val="single" w:sz="8"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Oficina Asesora de Planeación</w:t>
            </w:r>
          </w:p>
        </w:tc>
        <w:tc>
          <w:tcPr>
            <w:tcW w:w="2334" w:type="dxa"/>
            <w:tcBorders>
              <w:top w:val="single" w:sz="8"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right"/>
            </w:pPr>
            <w:r>
              <w:rPr>
                <w:color w:val="000000"/>
              </w:rPr>
              <w:t>Enero-diciembre de 202</w:t>
            </w:r>
            <w:r>
              <w:t>3</w:t>
            </w:r>
          </w:p>
        </w:tc>
      </w:tr>
      <w:tr w:rsidR="005D0A28">
        <w:trPr>
          <w:trHeight w:val="787"/>
        </w:trPr>
        <w:tc>
          <w:tcPr>
            <w:tcW w:w="253" w:type="dxa"/>
            <w:tcBorders>
              <w:top w:val="single" w:sz="4" w:space="0" w:color="000000"/>
              <w:left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b/>
                <w:color w:val="FFFFFF"/>
                <w:sz w:val="28"/>
                <w:szCs w:val="28"/>
              </w:rPr>
            </w:pPr>
            <w:r>
              <w:rPr>
                <w:b/>
                <w:color w:val="FFFFFF"/>
                <w:sz w:val="28"/>
                <w:szCs w:val="28"/>
              </w:rPr>
              <w:t>2</w:t>
            </w:r>
          </w:p>
        </w:tc>
        <w:tc>
          <w:tcPr>
            <w:tcW w:w="2787" w:type="dxa"/>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rPr>
                <w:rFonts w:ascii="Times New Roman" w:eastAsia="Times New Roman" w:hAnsi="Times New Roman" w:cs="Times New Roman"/>
                <w:color w:val="FFFFFF"/>
                <w:sz w:val="28"/>
                <w:szCs w:val="28"/>
              </w:rPr>
            </w:pPr>
            <w:r>
              <w:rPr>
                <w:b/>
                <w:color w:val="FFFFFF"/>
                <w:sz w:val="28"/>
                <w:szCs w:val="28"/>
              </w:rPr>
              <w:t>Construcción del Mapa de Riesgo de Corrupción </w:t>
            </w:r>
          </w:p>
        </w:tc>
        <w:tc>
          <w:tcPr>
            <w:tcW w:w="6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rPr>
            </w:pPr>
            <w:r>
              <w:rPr>
                <w:b/>
                <w:color w:val="000000"/>
              </w:rPr>
              <w:t>2.1</w:t>
            </w:r>
          </w:p>
        </w:tc>
        <w:tc>
          <w:tcPr>
            <w:tcW w:w="3675"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Actualización del Mapa de Riesgos de Corrupción</w:t>
            </w:r>
          </w:p>
        </w:tc>
        <w:tc>
          <w:tcPr>
            <w:tcW w:w="5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Mapa de Riesgo de corrupción actualizado</w:t>
            </w:r>
          </w:p>
        </w:tc>
        <w:tc>
          <w:tcPr>
            <w:tcW w:w="27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Líderes de procesos</w:t>
            </w:r>
          </w:p>
        </w:tc>
        <w:tc>
          <w:tcPr>
            <w:tcW w:w="2334"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right"/>
            </w:pPr>
            <w:r>
              <w:t>Enero 2023</w:t>
            </w:r>
          </w:p>
        </w:tc>
        <w:tc>
          <w:tcPr>
            <w:tcW w:w="2334" w:type="dxa"/>
            <w:vAlign w:val="center"/>
          </w:tcPr>
          <w:p w:rsidR="005D0A28" w:rsidRDefault="005D0A28"/>
        </w:tc>
      </w:tr>
      <w:tr w:rsidR="005D0A28">
        <w:trPr>
          <w:gridAfter w:val="1"/>
          <w:wAfter w:w="2334" w:type="dxa"/>
          <w:trHeight w:val="630"/>
        </w:trPr>
        <w:tc>
          <w:tcPr>
            <w:tcW w:w="253" w:type="dxa"/>
            <w:vMerge w:val="restart"/>
            <w:tcBorders>
              <w:top w:val="single" w:sz="4" w:space="0" w:color="000000"/>
              <w:left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b/>
                <w:color w:val="FFFFFF"/>
                <w:sz w:val="28"/>
                <w:szCs w:val="28"/>
              </w:rPr>
            </w:pPr>
            <w:r>
              <w:rPr>
                <w:b/>
                <w:color w:val="FFFFFF"/>
                <w:sz w:val="28"/>
                <w:szCs w:val="28"/>
              </w:rPr>
              <w:t>3</w:t>
            </w:r>
          </w:p>
        </w:tc>
        <w:tc>
          <w:tcPr>
            <w:tcW w:w="2787" w:type="dxa"/>
            <w:vMerge w:val="restart"/>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rPr>
                <w:rFonts w:ascii="Times New Roman" w:eastAsia="Times New Roman" w:hAnsi="Times New Roman" w:cs="Times New Roman"/>
                <w:color w:val="FFFFFF"/>
                <w:sz w:val="28"/>
                <w:szCs w:val="28"/>
              </w:rPr>
            </w:pPr>
            <w:r>
              <w:rPr>
                <w:b/>
                <w:color w:val="FFFFFF"/>
                <w:sz w:val="28"/>
                <w:szCs w:val="28"/>
              </w:rPr>
              <w:t>Consulta y Divulgación </w:t>
            </w:r>
          </w:p>
        </w:tc>
        <w:tc>
          <w:tcPr>
            <w:tcW w:w="6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rPr>
            </w:pPr>
            <w:r>
              <w:rPr>
                <w:b/>
                <w:color w:val="000000"/>
              </w:rPr>
              <w:t>3.1</w:t>
            </w:r>
          </w:p>
        </w:tc>
        <w:tc>
          <w:tcPr>
            <w:tcW w:w="3675"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Someter a consulta pública el PAAC para la vigencia 2023</w:t>
            </w:r>
          </w:p>
        </w:tc>
        <w:tc>
          <w:tcPr>
            <w:tcW w:w="5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 xml:space="preserve">PAAC publicado en la página web institucional y sometidos a consulta de la ciudadanía </w:t>
            </w:r>
          </w:p>
        </w:tc>
        <w:tc>
          <w:tcPr>
            <w:tcW w:w="27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Oficina Asesora de Planeación</w:t>
            </w:r>
          </w:p>
        </w:tc>
        <w:tc>
          <w:tcPr>
            <w:tcW w:w="2334"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tcPr>
          <w:p w:rsidR="005D0A28" w:rsidRDefault="00D87929">
            <w:pPr>
              <w:spacing w:after="0" w:line="240" w:lineRule="auto"/>
              <w:jc w:val="right"/>
            </w:pPr>
            <w:r>
              <w:t>Enero 2023</w:t>
            </w:r>
          </w:p>
        </w:tc>
      </w:tr>
      <w:tr w:rsidR="005D0A28">
        <w:trPr>
          <w:gridAfter w:val="1"/>
          <w:wAfter w:w="2334" w:type="dxa"/>
          <w:trHeight w:val="630"/>
        </w:trPr>
        <w:tc>
          <w:tcPr>
            <w:tcW w:w="253" w:type="dxa"/>
            <w:vMerge/>
            <w:tcBorders>
              <w:top w:val="single" w:sz="4" w:space="0" w:color="000000"/>
              <w:left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2787" w:type="dxa"/>
            <w:vMerge/>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6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color w:val="000000"/>
              </w:rPr>
            </w:pPr>
            <w:r>
              <w:rPr>
                <w:b/>
                <w:color w:val="000000"/>
              </w:rPr>
              <w:t>3.2</w:t>
            </w:r>
          </w:p>
        </w:tc>
        <w:tc>
          <w:tcPr>
            <w:tcW w:w="3675"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 xml:space="preserve">Dar respuesta a las observaciones resultantes de la consulta pública y </w:t>
            </w:r>
            <w:r>
              <w:lastRenderedPageBreak/>
              <w:t>verificar su viabilidad y aplicabilidad</w:t>
            </w:r>
          </w:p>
        </w:tc>
        <w:tc>
          <w:tcPr>
            <w:tcW w:w="5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lastRenderedPageBreak/>
              <w:t>Documento de respuestas generadas en la consulta pública</w:t>
            </w:r>
          </w:p>
        </w:tc>
        <w:tc>
          <w:tcPr>
            <w:tcW w:w="27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Oficina Asesora de Planeación</w:t>
            </w:r>
          </w:p>
        </w:tc>
        <w:tc>
          <w:tcPr>
            <w:tcW w:w="2334"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tcPr>
          <w:p w:rsidR="005D0A28" w:rsidRDefault="00D87929">
            <w:pPr>
              <w:spacing w:after="0" w:line="240" w:lineRule="auto"/>
              <w:jc w:val="right"/>
            </w:pPr>
            <w:r>
              <w:t>Enero 2023</w:t>
            </w:r>
          </w:p>
        </w:tc>
      </w:tr>
      <w:tr w:rsidR="005D0A28">
        <w:trPr>
          <w:gridAfter w:val="1"/>
          <w:wAfter w:w="2334" w:type="dxa"/>
          <w:trHeight w:val="630"/>
        </w:trPr>
        <w:tc>
          <w:tcPr>
            <w:tcW w:w="253" w:type="dxa"/>
            <w:vMerge/>
            <w:tcBorders>
              <w:top w:val="single" w:sz="4" w:space="0" w:color="000000"/>
              <w:left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2787" w:type="dxa"/>
            <w:vMerge/>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6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color w:val="000000"/>
              </w:rPr>
            </w:pPr>
            <w:r>
              <w:rPr>
                <w:b/>
                <w:color w:val="000000"/>
              </w:rPr>
              <w:t>3.3</w:t>
            </w:r>
          </w:p>
        </w:tc>
        <w:tc>
          <w:tcPr>
            <w:tcW w:w="3675"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Publicación en el Link de Transparencia y Acceso a la Información del PAAC junto con el Mapa de Riesgo.</w:t>
            </w:r>
          </w:p>
        </w:tc>
        <w:tc>
          <w:tcPr>
            <w:tcW w:w="5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PAAC, publicado en link de transparencia y acceso a la información pública</w:t>
            </w:r>
          </w:p>
        </w:tc>
        <w:tc>
          <w:tcPr>
            <w:tcW w:w="27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Oficina Asesora de Planeación</w:t>
            </w:r>
          </w:p>
        </w:tc>
        <w:tc>
          <w:tcPr>
            <w:tcW w:w="2334"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tcPr>
          <w:p w:rsidR="005D0A28" w:rsidRDefault="00D87929">
            <w:pPr>
              <w:spacing w:after="0" w:line="240" w:lineRule="auto"/>
              <w:jc w:val="right"/>
            </w:pPr>
            <w:r>
              <w:t>Enero 2023</w:t>
            </w:r>
          </w:p>
        </w:tc>
      </w:tr>
      <w:tr w:rsidR="005D0A28">
        <w:trPr>
          <w:gridAfter w:val="1"/>
          <w:wAfter w:w="2334" w:type="dxa"/>
          <w:trHeight w:val="630"/>
        </w:trPr>
        <w:tc>
          <w:tcPr>
            <w:tcW w:w="253" w:type="dxa"/>
            <w:tcBorders>
              <w:top w:val="single" w:sz="4" w:space="0" w:color="000000"/>
              <w:left w:val="single" w:sz="8"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b/>
                <w:color w:val="FFFFFF"/>
                <w:sz w:val="28"/>
                <w:szCs w:val="28"/>
              </w:rPr>
            </w:pPr>
            <w:r>
              <w:rPr>
                <w:b/>
                <w:color w:val="FFFFFF"/>
                <w:sz w:val="28"/>
                <w:szCs w:val="28"/>
              </w:rPr>
              <w:t>4</w:t>
            </w:r>
          </w:p>
        </w:tc>
        <w:tc>
          <w:tcPr>
            <w:tcW w:w="2787" w:type="dxa"/>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rPr>
                <w:rFonts w:ascii="Times New Roman" w:eastAsia="Times New Roman" w:hAnsi="Times New Roman" w:cs="Times New Roman"/>
                <w:color w:val="FFFFFF"/>
                <w:sz w:val="28"/>
                <w:szCs w:val="28"/>
              </w:rPr>
            </w:pPr>
            <w:r>
              <w:rPr>
                <w:b/>
                <w:color w:val="FFFFFF"/>
                <w:sz w:val="28"/>
                <w:szCs w:val="28"/>
              </w:rPr>
              <w:t>Monitoreo y Revisión</w:t>
            </w:r>
          </w:p>
        </w:tc>
        <w:tc>
          <w:tcPr>
            <w:tcW w:w="6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rPr>
            </w:pPr>
            <w:r>
              <w:rPr>
                <w:b/>
                <w:color w:val="000000"/>
              </w:rPr>
              <w:t>4.1</w:t>
            </w:r>
          </w:p>
        </w:tc>
        <w:tc>
          <w:tcPr>
            <w:tcW w:w="3675"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Monitoreo a las acciones contempladas en el PAAC</w:t>
            </w:r>
          </w:p>
        </w:tc>
        <w:tc>
          <w:tcPr>
            <w:tcW w:w="5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Monitoreo realizado</w:t>
            </w:r>
          </w:p>
        </w:tc>
        <w:tc>
          <w:tcPr>
            <w:tcW w:w="273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Líderes de procesos – Oficina Asesora de Planeación</w:t>
            </w:r>
          </w:p>
        </w:tc>
        <w:tc>
          <w:tcPr>
            <w:tcW w:w="2334"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right"/>
            </w:pPr>
            <w:r>
              <w:rPr>
                <w:color w:val="000000"/>
              </w:rPr>
              <w:t>Enero-diciembre de 202</w:t>
            </w:r>
            <w:r>
              <w:t>3</w:t>
            </w:r>
          </w:p>
        </w:tc>
      </w:tr>
      <w:tr w:rsidR="005D0A28">
        <w:trPr>
          <w:gridAfter w:val="1"/>
          <w:wAfter w:w="2334" w:type="dxa"/>
          <w:trHeight w:val="930"/>
        </w:trPr>
        <w:tc>
          <w:tcPr>
            <w:tcW w:w="253" w:type="dxa"/>
            <w:tcBorders>
              <w:top w:val="single" w:sz="4" w:space="0" w:color="000000"/>
              <w:left w:val="single" w:sz="8" w:space="0" w:color="000000"/>
              <w:bottom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spacing w:after="0" w:line="240" w:lineRule="auto"/>
              <w:jc w:val="center"/>
              <w:rPr>
                <w:b/>
                <w:color w:val="FFFFFF"/>
                <w:sz w:val="28"/>
                <w:szCs w:val="28"/>
              </w:rPr>
            </w:pPr>
          </w:p>
          <w:p w:rsidR="005D0A28" w:rsidRDefault="005D0A28">
            <w:pPr>
              <w:spacing w:after="0" w:line="240" w:lineRule="auto"/>
              <w:jc w:val="center"/>
              <w:rPr>
                <w:b/>
                <w:color w:val="FFFFFF"/>
                <w:sz w:val="28"/>
                <w:szCs w:val="28"/>
              </w:rPr>
            </w:pPr>
          </w:p>
          <w:p w:rsidR="005D0A28" w:rsidRDefault="00D87929">
            <w:pPr>
              <w:spacing w:after="0" w:line="240" w:lineRule="auto"/>
              <w:jc w:val="center"/>
              <w:rPr>
                <w:rFonts w:ascii="Times New Roman" w:eastAsia="Times New Roman" w:hAnsi="Times New Roman" w:cs="Times New Roman"/>
                <w:b/>
                <w:color w:val="FFFFFF"/>
                <w:sz w:val="28"/>
                <w:szCs w:val="28"/>
              </w:rPr>
            </w:pPr>
            <w:r>
              <w:rPr>
                <w:b/>
                <w:color w:val="FFFFFF"/>
                <w:sz w:val="28"/>
                <w:szCs w:val="28"/>
              </w:rPr>
              <w:t>5</w:t>
            </w:r>
          </w:p>
        </w:tc>
        <w:tc>
          <w:tcPr>
            <w:tcW w:w="2787" w:type="dxa"/>
            <w:tcBorders>
              <w:top w:val="single" w:sz="4" w:space="0" w:color="000000"/>
              <w:left w:val="single" w:sz="4" w:space="0" w:color="000000"/>
              <w:bottom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rPr>
                <w:rFonts w:ascii="Times New Roman" w:eastAsia="Times New Roman" w:hAnsi="Times New Roman" w:cs="Times New Roman"/>
                <w:color w:val="FFFFFF"/>
                <w:sz w:val="28"/>
                <w:szCs w:val="28"/>
              </w:rPr>
            </w:pPr>
            <w:r>
              <w:rPr>
                <w:b/>
                <w:color w:val="FFFFFF"/>
                <w:sz w:val="28"/>
                <w:szCs w:val="28"/>
              </w:rPr>
              <w:t>Seguimiento</w:t>
            </w:r>
          </w:p>
        </w:tc>
        <w:tc>
          <w:tcPr>
            <w:tcW w:w="630" w:type="dxa"/>
            <w:tcBorders>
              <w:top w:val="single" w:sz="4" w:space="0" w:color="000000"/>
              <w:left w:val="single" w:sz="4" w:space="0" w:color="000000"/>
              <w:bottom w:val="single" w:sz="8"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rPr>
            </w:pPr>
            <w:r>
              <w:rPr>
                <w:b/>
                <w:color w:val="000000"/>
              </w:rPr>
              <w:t>5.1</w:t>
            </w:r>
          </w:p>
        </w:tc>
        <w:tc>
          <w:tcPr>
            <w:tcW w:w="3675" w:type="dxa"/>
            <w:tcBorders>
              <w:top w:val="single" w:sz="4" w:space="0" w:color="000000"/>
              <w:left w:val="single" w:sz="4" w:space="0" w:color="000000"/>
              <w:bottom w:val="single" w:sz="8"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Seguimiento al PAAC</w:t>
            </w:r>
          </w:p>
        </w:tc>
        <w:tc>
          <w:tcPr>
            <w:tcW w:w="5059" w:type="dxa"/>
            <w:tcBorders>
              <w:top w:val="single" w:sz="4" w:space="0" w:color="000000"/>
              <w:left w:val="single" w:sz="4" w:space="0" w:color="000000"/>
              <w:bottom w:val="single" w:sz="8"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Tres (3) informes de seguimientos al  PAAC - mapa de riesgos  (Enero, mayo y septiembre), publicados en la página web</w:t>
            </w:r>
          </w:p>
        </w:tc>
        <w:tc>
          <w:tcPr>
            <w:tcW w:w="2730" w:type="dxa"/>
            <w:tcBorders>
              <w:top w:val="single" w:sz="4" w:space="0" w:color="000000"/>
              <w:left w:val="single" w:sz="4" w:space="0" w:color="000000"/>
              <w:bottom w:val="single" w:sz="8" w:space="0" w:color="000000"/>
              <w:right w:val="single" w:sz="4" w:space="0" w:color="000000"/>
            </w:tcBorders>
            <w:shd w:val="clear" w:color="auto" w:fill="DBE5F1"/>
            <w:tcMar>
              <w:top w:w="0" w:type="dxa"/>
              <w:left w:w="70" w:type="dxa"/>
              <w:bottom w:w="0" w:type="dxa"/>
              <w:right w:w="70" w:type="dxa"/>
            </w:tcMar>
            <w:vAlign w:val="center"/>
          </w:tcPr>
          <w:p w:rsidR="005D0A28" w:rsidRDefault="00D87929">
            <w:pPr>
              <w:spacing w:after="0" w:line="240" w:lineRule="auto"/>
            </w:pPr>
            <w:r>
              <w:t>Oficina de Control Interno</w:t>
            </w:r>
          </w:p>
        </w:tc>
        <w:tc>
          <w:tcPr>
            <w:tcW w:w="2334" w:type="dxa"/>
            <w:tcBorders>
              <w:top w:val="single" w:sz="4" w:space="0" w:color="000000"/>
              <w:left w:val="single" w:sz="4"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right"/>
            </w:pPr>
            <w:r>
              <w:rPr>
                <w:color w:val="000000"/>
              </w:rPr>
              <w:t>Enero-diciembre de 202</w:t>
            </w:r>
            <w:r>
              <w:t>3</w:t>
            </w:r>
          </w:p>
        </w:tc>
      </w:tr>
    </w:tbl>
    <w:p w:rsidR="005D0A28" w:rsidRDefault="005D0A28"/>
    <w:p w:rsidR="005D0A28" w:rsidRDefault="005D0A28"/>
    <w:p w:rsidR="005D0A28" w:rsidRDefault="005D0A28"/>
    <w:p w:rsidR="005D0A28" w:rsidRDefault="005D0A28"/>
    <w:p w:rsidR="005D0A28" w:rsidRDefault="005D0A28"/>
    <w:p w:rsidR="005D0A28" w:rsidRDefault="005D0A28"/>
    <w:p w:rsidR="005D0A28" w:rsidRDefault="005D0A28"/>
    <w:p w:rsidR="005D0A28" w:rsidRDefault="005D0A28">
      <w:pPr>
        <w:jc w:val="center"/>
        <w:rPr>
          <w:sz w:val="20"/>
          <w:szCs w:val="20"/>
        </w:rPr>
      </w:pPr>
    </w:p>
    <w:tbl>
      <w:tblPr>
        <w:tblStyle w:val="ab"/>
        <w:tblW w:w="17326" w:type="dxa"/>
        <w:tblInd w:w="85" w:type="dxa"/>
        <w:tblBorders>
          <w:top w:val="nil"/>
          <w:left w:val="nil"/>
          <w:bottom w:val="nil"/>
          <w:right w:val="nil"/>
          <w:insideH w:val="nil"/>
          <w:insideV w:val="nil"/>
        </w:tblBorders>
        <w:tblLayout w:type="fixed"/>
        <w:tblLook w:val="0600" w:firstRow="0" w:lastRow="0" w:firstColumn="0" w:lastColumn="0" w:noHBand="1" w:noVBand="1"/>
      </w:tblPr>
      <w:tblGrid>
        <w:gridCol w:w="553"/>
        <w:gridCol w:w="2546"/>
        <w:gridCol w:w="658"/>
        <w:gridCol w:w="4403"/>
        <w:gridCol w:w="3295"/>
        <w:gridCol w:w="2876"/>
        <w:gridCol w:w="2995"/>
      </w:tblGrid>
      <w:tr w:rsidR="005D0A28">
        <w:trPr>
          <w:trHeight w:val="575"/>
        </w:trPr>
        <w:tc>
          <w:tcPr>
            <w:tcW w:w="17322" w:type="dxa"/>
            <w:gridSpan w:val="7"/>
            <w:tcBorders>
              <w:top w:val="single" w:sz="8" w:space="0" w:color="000000"/>
              <w:left w:val="single" w:sz="8" w:space="0" w:color="000000"/>
              <w:bottom w:val="single" w:sz="8" w:space="0" w:color="000000"/>
              <w:right w:val="single" w:sz="8" w:space="0" w:color="000000"/>
            </w:tcBorders>
            <w:shd w:val="clear" w:color="auto" w:fill="E36C0A"/>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lastRenderedPageBreak/>
              <w:t>COMPONENTE 2: RACIONALIZACIÓN DE TRÁMITES</w:t>
            </w:r>
          </w:p>
        </w:tc>
      </w:tr>
      <w:tr w:rsidR="005D0A28">
        <w:trPr>
          <w:trHeight w:val="1190"/>
        </w:trPr>
        <w:tc>
          <w:tcPr>
            <w:tcW w:w="3099" w:type="dxa"/>
            <w:gridSpan w:val="2"/>
            <w:tcBorders>
              <w:top w:val="nil"/>
              <w:left w:val="single" w:sz="8" w:space="0" w:color="000000"/>
              <w:bottom w:val="nil"/>
              <w:right w:val="single" w:sz="8" w:space="0" w:color="000000"/>
            </w:tcBorders>
            <w:shd w:val="clear" w:color="auto" w:fill="E36C0A"/>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t>SUBCOMPONENTE</w:t>
            </w:r>
          </w:p>
        </w:tc>
        <w:tc>
          <w:tcPr>
            <w:tcW w:w="5060" w:type="dxa"/>
            <w:gridSpan w:val="2"/>
            <w:tcBorders>
              <w:top w:val="nil"/>
              <w:left w:val="nil"/>
              <w:bottom w:val="nil"/>
              <w:right w:val="single" w:sz="8" w:space="0" w:color="000000"/>
            </w:tcBorders>
            <w:shd w:val="clear" w:color="auto" w:fill="E36C0A"/>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t>ACTIVIDADES</w:t>
            </w:r>
          </w:p>
        </w:tc>
        <w:tc>
          <w:tcPr>
            <w:tcW w:w="3294" w:type="dxa"/>
            <w:tcBorders>
              <w:top w:val="nil"/>
              <w:left w:val="nil"/>
              <w:bottom w:val="nil"/>
              <w:right w:val="nil"/>
            </w:tcBorders>
            <w:shd w:val="clear" w:color="auto" w:fill="E36C0A"/>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t>META DEL PRODUCTO</w:t>
            </w:r>
          </w:p>
        </w:tc>
        <w:tc>
          <w:tcPr>
            <w:tcW w:w="2875" w:type="dxa"/>
            <w:tcBorders>
              <w:top w:val="nil"/>
              <w:left w:val="single" w:sz="8" w:space="0" w:color="000000"/>
              <w:bottom w:val="nil"/>
              <w:right w:val="single" w:sz="8" w:space="0" w:color="000000"/>
            </w:tcBorders>
            <w:shd w:val="clear" w:color="auto" w:fill="E36C0A"/>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t>RESPONSABLE</w:t>
            </w:r>
          </w:p>
        </w:tc>
        <w:tc>
          <w:tcPr>
            <w:tcW w:w="2994" w:type="dxa"/>
            <w:tcBorders>
              <w:top w:val="nil"/>
              <w:left w:val="nil"/>
              <w:bottom w:val="nil"/>
              <w:right w:val="single" w:sz="8" w:space="0" w:color="000000"/>
            </w:tcBorders>
            <w:shd w:val="clear" w:color="auto" w:fill="E36C0A"/>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t>FECHA PROGRAMADA DE EJECUCIÓN</w:t>
            </w:r>
          </w:p>
        </w:tc>
      </w:tr>
      <w:tr w:rsidR="005D0A28">
        <w:trPr>
          <w:trHeight w:val="1120"/>
        </w:trPr>
        <w:tc>
          <w:tcPr>
            <w:tcW w:w="554" w:type="dxa"/>
            <w:vMerge w:val="restart"/>
            <w:tcBorders>
              <w:top w:val="single" w:sz="8" w:space="0" w:color="000000"/>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t xml:space="preserve"> </w:t>
            </w:r>
          </w:p>
          <w:p w:rsidR="005D0A28" w:rsidRDefault="00D87929">
            <w:pPr>
              <w:spacing w:before="240" w:after="0"/>
              <w:ind w:left="100"/>
              <w:jc w:val="center"/>
              <w:rPr>
                <w:color w:val="FFFFFF"/>
                <w:sz w:val="28"/>
                <w:szCs w:val="28"/>
              </w:rPr>
            </w:pPr>
            <w:r>
              <w:rPr>
                <w:color w:val="FFFFFF"/>
                <w:sz w:val="28"/>
                <w:szCs w:val="28"/>
              </w:rPr>
              <w:t>1</w:t>
            </w:r>
          </w:p>
        </w:tc>
        <w:tc>
          <w:tcPr>
            <w:tcW w:w="2545" w:type="dxa"/>
            <w:vMerge w:val="restart"/>
            <w:tcBorders>
              <w:top w:val="single" w:sz="8" w:space="0" w:color="000000"/>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D87929">
            <w:pPr>
              <w:spacing w:before="240" w:after="240"/>
              <w:ind w:left="100"/>
              <w:jc w:val="center"/>
              <w:rPr>
                <w:b/>
                <w:color w:val="FFFFFF"/>
                <w:sz w:val="28"/>
                <w:szCs w:val="28"/>
              </w:rPr>
            </w:pPr>
            <w:r>
              <w:rPr>
                <w:b/>
                <w:color w:val="FFFFFF"/>
                <w:sz w:val="28"/>
                <w:szCs w:val="28"/>
              </w:rPr>
              <w:t>Sistema Único de Información de Trámites – SUIT.</w:t>
            </w:r>
          </w:p>
          <w:p w:rsidR="005D0A28" w:rsidRDefault="00D87929">
            <w:pPr>
              <w:spacing w:before="240" w:after="0"/>
              <w:ind w:left="100"/>
              <w:jc w:val="center"/>
              <w:rPr>
                <w:b/>
                <w:color w:val="FFFFFF"/>
                <w:sz w:val="28"/>
                <w:szCs w:val="28"/>
              </w:rPr>
            </w:pPr>
            <w:r>
              <w:rPr>
                <w:b/>
                <w:color w:val="FFFFFF"/>
                <w:sz w:val="28"/>
                <w:szCs w:val="28"/>
              </w:rPr>
              <w:t xml:space="preserve"> </w:t>
            </w:r>
          </w:p>
        </w:tc>
        <w:tc>
          <w:tcPr>
            <w:tcW w:w="658"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center"/>
              <w:rPr>
                <w:b/>
                <w:sz w:val="20"/>
                <w:szCs w:val="20"/>
              </w:rPr>
            </w:pPr>
            <w:r>
              <w:rPr>
                <w:b/>
                <w:sz w:val="20"/>
                <w:szCs w:val="20"/>
              </w:rPr>
              <w:t>1.1</w:t>
            </w:r>
          </w:p>
        </w:tc>
        <w:tc>
          <w:tcPr>
            <w:tcW w:w="4402"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Identificación y Registro de Otros Procesos Administrativos (</w:t>
            </w:r>
            <w:proofErr w:type="spellStart"/>
            <w:r>
              <w:rPr>
                <w:sz w:val="20"/>
                <w:szCs w:val="20"/>
              </w:rPr>
              <w:t>OPA’s</w:t>
            </w:r>
            <w:proofErr w:type="spellEnd"/>
            <w:r>
              <w:rPr>
                <w:sz w:val="20"/>
                <w:szCs w:val="20"/>
              </w:rPr>
              <w:t>) que ofrece la entidad en la plataforma SUIT</w:t>
            </w:r>
          </w:p>
        </w:tc>
        <w:tc>
          <w:tcPr>
            <w:tcW w:w="3294"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 xml:space="preserve">Registro del 50% de </w:t>
            </w:r>
            <w:proofErr w:type="spellStart"/>
            <w:r>
              <w:rPr>
                <w:sz w:val="20"/>
                <w:szCs w:val="20"/>
              </w:rPr>
              <w:t>OPA’s</w:t>
            </w:r>
            <w:proofErr w:type="spellEnd"/>
            <w:r>
              <w:rPr>
                <w:sz w:val="20"/>
                <w:szCs w:val="20"/>
              </w:rPr>
              <w:t xml:space="preserve"> identificados</w:t>
            </w:r>
          </w:p>
        </w:tc>
        <w:tc>
          <w:tcPr>
            <w:tcW w:w="2875"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 y dependencias responsables de trámites SUIT</w:t>
            </w:r>
          </w:p>
        </w:tc>
        <w:tc>
          <w:tcPr>
            <w:tcW w:w="2994"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Feb-Dic  de 2023</w:t>
            </w:r>
          </w:p>
        </w:tc>
      </w:tr>
      <w:tr w:rsidR="005D0A28">
        <w:trPr>
          <w:trHeight w:val="1025"/>
        </w:trPr>
        <w:tc>
          <w:tcPr>
            <w:tcW w:w="554" w:type="dxa"/>
            <w:vMerge/>
            <w:tcBorders>
              <w:top w:val="single" w:sz="8" w:space="0" w:color="000000"/>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2545" w:type="dxa"/>
            <w:vMerge/>
            <w:tcBorders>
              <w:top w:val="single" w:sz="8" w:space="0" w:color="000000"/>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center"/>
              <w:rPr>
                <w:b/>
                <w:sz w:val="20"/>
                <w:szCs w:val="20"/>
              </w:rPr>
            </w:pPr>
            <w:r>
              <w:rPr>
                <w:b/>
                <w:sz w:val="20"/>
                <w:szCs w:val="20"/>
              </w:rPr>
              <w:t>1.2</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Identificación y Registro de trámites que ofrece la entidad en la plataforma SUIT</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Registro del 50% de trámites identificados</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 y dependencias responsables de trámites SUIT</w:t>
            </w:r>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 Dic de 2023</w:t>
            </w:r>
          </w:p>
        </w:tc>
      </w:tr>
      <w:tr w:rsidR="005D0A28">
        <w:trPr>
          <w:trHeight w:val="1290"/>
        </w:trPr>
        <w:tc>
          <w:tcPr>
            <w:tcW w:w="554" w:type="dxa"/>
            <w:vMerge/>
            <w:tcBorders>
              <w:top w:val="single" w:sz="8" w:space="0" w:color="000000"/>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2545" w:type="dxa"/>
            <w:vMerge/>
            <w:tcBorders>
              <w:top w:val="single" w:sz="8" w:space="0" w:color="000000"/>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b/>
                <w:sz w:val="20"/>
                <w:szCs w:val="20"/>
              </w:rPr>
            </w:pPr>
            <w:r>
              <w:rPr>
                <w:b/>
                <w:sz w:val="20"/>
                <w:szCs w:val="20"/>
              </w:rPr>
              <w:t>1.3</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Realización de capacitaciones para fortalecer las habilidades de servidores públicos de orden departamental y municipal en el manejo de la plataforma SUIT</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Realizadas 1 capacitaciones</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w:t>
            </w:r>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Feb-Dic  de 2023</w:t>
            </w:r>
          </w:p>
        </w:tc>
      </w:tr>
      <w:tr w:rsidR="005D0A28">
        <w:trPr>
          <w:trHeight w:val="1339"/>
        </w:trPr>
        <w:tc>
          <w:tcPr>
            <w:tcW w:w="554" w:type="dxa"/>
            <w:vMerge w:val="restart"/>
            <w:tcBorders>
              <w:top w:val="nil"/>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D87929">
            <w:pPr>
              <w:spacing w:before="240" w:after="0"/>
              <w:ind w:left="100"/>
              <w:jc w:val="center"/>
              <w:rPr>
                <w:color w:val="FFFFFF"/>
                <w:sz w:val="28"/>
                <w:szCs w:val="28"/>
              </w:rPr>
            </w:pPr>
            <w:r>
              <w:rPr>
                <w:color w:val="FFFFFF"/>
                <w:sz w:val="28"/>
                <w:szCs w:val="28"/>
              </w:rPr>
              <w:lastRenderedPageBreak/>
              <w:t>2</w:t>
            </w:r>
          </w:p>
        </w:tc>
        <w:tc>
          <w:tcPr>
            <w:tcW w:w="2545" w:type="dxa"/>
            <w:vMerge w:val="restart"/>
            <w:tcBorders>
              <w:top w:val="nil"/>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t xml:space="preserve"> Estrategia de racionalización de trámites implementada</w:t>
            </w: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b/>
                <w:sz w:val="20"/>
                <w:szCs w:val="20"/>
              </w:rPr>
            </w:pPr>
            <w:r>
              <w:rPr>
                <w:b/>
                <w:sz w:val="20"/>
                <w:szCs w:val="20"/>
              </w:rPr>
              <w:t>2.1</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Asistencia y/o acompañamiento a secretarías/dependencias en el proceso de priorización de trámites susceptibles de acciones de racionalización</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Identificados y priorizados trámites para racionalización</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 y dependencias responsables de trámites SUIT</w:t>
            </w:r>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Feb-Dic  de 2023</w:t>
            </w:r>
          </w:p>
        </w:tc>
      </w:tr>
      <w:tr w:rsidR="005D0A28">
        <w:trPr>
          <w:trHeight w:val="1189"/>
        </w:trPr>
        <w:tc>
          <w:tcPr>
            <w:tcW w:w="554" w:type="dxa"/>
            <w:vMerge/>
            <w:tcBorders>
              <w:top w:val="nil"/>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2545" w:type="dxa"/>
            <w:vMerge/>
            <w:tcBorders>
              <w:top w:val="nil"/>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b/>
                <w:sz w:val="20"/>
                <w:szCs w:val="20"/>
              </w:rPr>
            </w:pPr>
            <w:r>
              <w:rPr>
                <w:b/>
                <w:sz w:val="20"/>
                <w:szCs w:val="20"/>
              </w:rPr>
              <w:t xml:space="preserve"> 2.2</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Diseño de la Estrategia de Racionalización de Trámites, de acuerdo con la información suministrada por parte de usuarios y responsables de trámites.</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Estrategia de Racionalización diseñada</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 y dependencias responsables de trámites SUIT</w:t>
            </w:r>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Enero de 2023</w:t>
            </w:r>
          </w:p>
        </w:tc>
      </w:tr>
      <w:tr w:rsidR="005D0A28">
        <w:trPr>
          <w:trHeight w:val="892"/>
        </w:trPr>
        <w:tc>
          <w:tcPr>
            <w:tcW w:w="554" w:type="dxa"/>
            <w:vMerge/>
            <w:tcBorders>
              <w:top w:val="nil"/>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2545" w:type="dxa"/>
            <w:vMerge/>
            <w:tcBorders>
              <w:top w:val="nil"/>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b/>
                <w:sz w:val="20"/>
                <w:szCs w:val="20"/>
              </w:rPr>
            </w:pPr>
            <w:r>
              <w:rPr>
                <w:b/>
                <w:sz w:val="20"/>
                <w:szCs w:val="20"/>
              </w:rPr>
              <w:t>2.3</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6"/>
                <w:szCs w:val="26"/>
              </w:rPr>
            </w:pPr>
            <w:r>
              <w:rPr>
                <w:sz w:val="20"/>
                <w:szCs w:val="20"/>
              </w:rPr>
              <w:t>Monitoreo de la implementación de la Estrategia de Racionalización</w:t>
            </w:r>
            <w:r>
              <w:rPr>
                <w:sz w:val="26"/>
                <w:szCs w:val="26"/>
              </w:rPr>
              <w:t xml:space="preserve"> </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Realizado monitoreo de la implementación de la Estrategia de Racionalización</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w:t>
            </w:r>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Feb-Dic  de 2023</w:t>
            </w:r>
          </w:p>
        </w:tc>
      </w:tr>
      <w:tr w:rsidR="005D0A28">
        <w:trPr>
          <w:trHeight w:val="1103"/>
        </w:trPr>
        <w:tc>
          <w:tcPr>
            <w:tcW w:w="554" w:type="dxa"/>
            <w:vMerge/>
            <w:tcBorders>
              <w:top w:val="nil"/>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2545" w:type="dxa"/>
            <w:vMerge/>
            <w:tcBorders>
              <w:top w:val="nil"/>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b/>
                <w:sz w:val="20"/>
                <w:szCs w:val="20"/>
              </w:rPr>
            </w:pPr>
            <w:r>
              <w:rPr>
                <w:b/>
                <w:sz w:val="20"/>
                <w:szCs w:val="20"/>
              </w:rPr>
              <w:t>2.4</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Implementación de las acciones de Racionalización de Trámites definidas.</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Estrategia de Racionalización Implementada 100%</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 y dependencias responsables de trámites SUIT</w:t>
            </w:r>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Feb-Dic  de 2023</w:t>
            </w:r>
          </w:p>
        </w:tc>
      </w:tr>
      <w:tr w:rsidR="005D0A28">
        <w:trPr>
          <w:trHeight w:val="1290"/>
        </w:trPr>
        <w:tc>
          <w:tcPr>
            <w:tcW w:w="554" w:type="dxa"/>
            <w:vMerge/>
            <w:tcBorders>
              <w:top w:val="nil"/>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2545" w:type="dxa"/>
            <w:vMerge/>
            <w:tcBorders>
              <w:top w:val="nil"/>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b/>
                <w:sz w:val="20"/>
                <w:szCs w:val="20"/>
              </w:rPr>
            </w:pPr>
            <w:r>
              <w:rPr>
                <w:b/>
                <w:sz w:val="20"/>
                <w:szCs w:val="20"/>
              </w:rPr>
              <w:t>2.5</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Realizar capacitaciones para el fortalecimiento de habilidades de servidores públicos de nivel municipal y departamental, en los procesos de racionalización de trámites</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Realizadas 2 capacitaciones</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w:t>
            </w:r>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Feb-Dic  de 2023</w:t>
            </w:r>
          </w:p>
        </w:tc>
      </w:tr>
      <w:tr w:rsidR="005D0A28">
        <w:trPr>
          <w:trHeight w:val="1491"/>
        </w:trPr>
        <w:tc>
          <w:tcPr>
            <w:tcW w:w="554" w:type="dxa"/>
            <w:vMerge/>
            <w:tcBorders>
              <w:top w:val="nil"/>
              <w:left w:val="single" w:sz="8" w:space="0" w:color="000000"/>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2545" w:type="dxa"/>
            <w:vMerge/>
            <w:tcBorders>
              <w:top w:val="nil"/>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5D0A28">
            <w:pPr>
              <w:widowControl w:val="0"/>
              <w:pBdr>
                <w:top w:val="nil"/>
                <w:left w:val="nil"/>
                <w:bottom w:val="nil"/>
                <w:right w:val="nil"/>
                <w:between w:val="nil"/>
              </w:pBdr>
              <w:spacing w:after="0"/>
              <w:rPr>
                <w:sz w:val="20"/>
                <w:szCs w:val="20"/>
              </w:rPr>
            </w:pP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b/>
                <w:sz w:val="20"/>
                <w:szCs w:val="20"/>
              </w:rPr>
            </w:pPr>
            <w:r>
              <w:rPr>
                <w:b/>
                <w:sz w:val="20"/>
                <w:szCs w:val="20"/>
              </w:rPr>
              <w:t>2.6</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Realización de consulta a la ciudadana sobre percepción de la oferta de trámites que ofrece la entidad departamental en sus distintas dependencias</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Consulta realizada</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Oficina Asesora de Planeación /Oficinas responsables de oferta de trámites /Oficina de Participación Ciudadana/</w:t>
            </w:r>
            <w:proofErr w:type="spellStart"/>
            <w:r>
              <w:rPr>
                <w:sz w:val="20"/>
                <w:szCs w:val="20"/>
              </w:rPr>
              <w:t>TIC’s</w:t>
            </w:r>
            <w:proofErr w:type="spellEnd"/>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Feb-Jul  de 2023</w:t>
            </w:r>
          </w:p>
        </w:tc>
      </w:tr>
      <w:tr w:rsidR="005D0A28">
        <w:trPr>
          <w:trHeight w:val="1109"/>
        </w:trPr>
        <w:tc>
          <w:tcPr>
            <w:tcW w:w="554" w:type="dxa"/>
            <w:tcBorders>
              <w:top w:val="nil"/>
              <w:left w:val="single" w:sz="8" w:space="0" w:color="000000"/>
              <w:bottom w:val="nil"/>
              <w:right w:val="single" w:sz="8" w:space="0" w:color="000000"/>
            </w:tcBorders>
            <w:shd w:val="clear" w:color="auto" w:fill="948A54"/>
            <w:tcMar>
              <w:top w:w="100" w:type="dxa"/>
              <w:left w:w="100" w:type="dxa"/>
              <w:bottom w:w="100" w:type="dxa"/>
              <w:right w:w="100" w:type="dxa"/>
            </w:tcMar>
          </w:tcPr>
          <w:p w:rsidR="005D0A28" w:rsidRDefault="00D87929">
            <w:pPr>
              <w:spacing w:before="240" w:after="0"/>
              <w:ind w:left="100"/>
              <w:jc w:val="center"/>
              <w:rPr>
                <w:b/>
                <w:color w:val="FFFFFF"/>
                <w:sz w:val="28"/>
                <w:szCs w:val="28"/>
              </w:rPr>
            </w:pPr>
            <w:r>
              <w:rPr>
                <w:b/>
                <w:color w:val="FFFFFF"/>
                <w:sz w:val="28"/>
                <w:szCs w:val="28"/>
              </w:rPr>
              <w:lastRenderedPageBreak/>
              <w:t>3</w:t>
            </w:r>
          </w:p>
          <w:p w:rsidR="005D0A28" w:rsidRDefault="00D87929">
            <w:pPr>
              <w:spacing w:before="240" w:after="0"/>
              <w:ind w:left="100"/>
              <w:jc w:val="center"/>
              <w:rPr>
                <w:b/>
                <w:color w:val="FFFFFF"/>
                <w:sz w:val="28"/>
                <w:szCs w:val="28"/>
              </w:rPr>
            </w:pPr>
            <w:r>
              <w:rPr>
                <w:b/>
                <w:color w:val="FFFFFF"/>
                <w:sz w:val="28"/>
                <w:szCs w:val="28"/>
              </w:rPr>
              <w:t xml:space="preserve"> </w:t>
            </w:r>
          </w:p>
        </w:tc>
        <w:tc>
          <w:tcPr>
            <w:tcW w:w="2545" w:type="dxa"/>
            <w:tcBorders>
              <w:top w:val="nil"/>
              <w:left w:val="nil"/>
              <w:bottom w:val="single" w:sz="8" w:space="0" w:color="000000"/>
              <w:right w:val="single" w:sz="8" w:space="0" w:color="000000"/>
            </w:tcBorders>
            <w:shd w:val="clear" w:color="auto" w:fill="948A54"/>
            <w:tcMar>
              <w:top w:w="100" w:type="dxa"/>
              <w:left w:w="100" w:type="dxa"/>
              <w:bottom w:w="100" w:type="dxa"/>
              <w:right w:w="100" w:type="dxa"/>
            </w:tcMar>
          </w:tcPr>
          <w:p w:rsidR="005D0A28" w:rsidRDefault="00D87929">
            <w:pPr>
              <w:spacing w:before="240" w:after="0"/>
              <w:ind w:left="100"/>
              <w:rPr>
                <w:b/>
                <w:color w:val="FFFFFF"/>
                <w:sz w:val="26"/>
                <w:szCs w:val="26"/>
              </w:rPr>
            </w:pPr>
            <w:r>
              <w:rPr>
                <w:b/>
                <w:color w:val="FFFFFF"/>
                <w:sz w:val="26"/>
                <w:szCs w:val="26"/>
              </w:rPr>
              <w:t>Interacción trámites / fase online</w:t>
            </w:r>
          </w:p>
        </w:tc>
        <w:tc>
          <w:tcPr>
            <w:tcW w:w="65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b/>
                <w:sz w:val="20"/>
                <w:szCs w:val="20"/>
              </w:rPr>
            </w:pPr>
            <w:r>
              <w:rPr>
                <w:b/>
                <w:sz w:val="20"/>
                <w:szCs w:val="20"/>
              </w:rPr>
              <w:t>3.1</w:t>
            </w:r>
          </w:p>
        </w:tc>
        <w:tc>
          <w:tcPr>
            <w:tcW w:w="4402"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both"/>
              <w:rPr>
                <w:sz w:val="20"/>
                <w:szCs w:val="20"/>
              </w:rPr>
            </w:pPr>
            <w:r>
              <w:rPr>
                <w:sz w:val="20"/>
                <w:szCs w:val="20"/>
              </w:rPr>
              <w:t>Implementar el portal de trámites y servicios en línea de la Gobernación del Magdalena</w:t>
            </w:r>
          </w:p>
        </w:tc>
        <w:tc>
          <w:tcPr>
            <w:tcW w:w="32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line="240" w:lineRule="auto"/>
              <w:ind w:left="100"/>
              <w:jc w:val="both"/>
              <w:rPr>
                <w:sz w:val="20"/>
                <w:szCs w:val="20"/>
              </w:rPr>
            </w:pPr>
            <w:r>
              <w:rPr>
                <w:sz w:val="20"/>
                <w:szCs w:val="20"/>
              </w:rPr>
              <w:t>30% de los trámites administrativos en línea</w:t>
            </w:r>
          </w:p>
        </w:tc>
        <w:tc>
          <w:tcPr>
            <w:tcW w:w="287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rPr>
                <w:sz w:val="20"/>
                <w:szCs w:val="20"/>
              </w:rPr>
            </w:pPr>
            <w:r>
              <w:rPr>
                <w:sz w:val="20"/>
                <w:szCs w:val="20"/>
              </w:rPr>
              <w:t>Oficina de Tecnología de la Información</w:t>
            </w:r>
          </w:p>
        </w:tc>
        <w:tc>
          <w:tcPr>
            <w:tcW w:w="299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5D0A28" w:rsidRDefault="00D87929">
            <w:pPr>
              <w:spacing w:before="240" w:after="0"/>
              <w:ind w:left="100"/>
              <w:jc w:val="right"/>
              <w:rPr>
                <w:sz w:val="20"/>
                <w:szCs w:val="20"/>
              </w:rPr>
            </w:pPr>
            <w:r>
              <w:rPr>
                <w:sz w:val="20"/>
                <w:szCs w:val="20"/>
              </w:rPr>
              <w:t>Feb-Jul  de 2023</w:t>
            </w:r>
          </w:p>
        </w:tc>
      </w:tr>
    </w:tbl>
    <w:p w:rsidR="005D0A28" w:rsidRDefault="005D0A28">
      <w:pPr>
        <w:jc w:val="center"/>
        <w:rPr>
          <w:sz w:val="20"/>
          <w:szCs w:val="20"/>
        </w:rPr>
      </w:pPr>
    </w:p>
    <w:p w:rsidR="005D0A28" w:rsidRDefault="00AD0F57">
      <w:pPr>
        <w:jc w:val="center"/>
        <w:rPr>
          <w:sz w:val="20"/>
          <w:szCs w:val="20"/>
        </w:rPr>
      </w:pPr>
      <w:r>
        <w:rPr>
          <w:noProof/>
          <w:sz w:val="20"/>
          <w:szCs w:val="20"/>
          <w:lang w:val="es-MX" w:eastAsia="es-MX"/>
        </w:rPr>
        <w:lastRenderedPageBreak/>
        <w:drawing>
          <wp:inline distT="0" distB="0" distL="0" distR="0" wp14:anchorId="77450A5B">
            <wp:extent cx="5608955" cy="57797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955" cy="5779770"/>
                    </a:xfrm>
                    <a:prstGeom prst="rect">
                      <a:avLst/>
                    </a:prstGeom>
                    <a:noFill/>
                  </pic:spPr>
                </pic:pic>
              </a:graphicData>
            </a:graphic>
          </wp:inline>
        </w:drawing>
      </w:r>
    </w:p>
    <w:p w:rsidR="00AD0F57" w:rsidRDefault="00AD0F57">
      <w:pPr>
        <w:jc w:val="center"/>
        <w:rPr>
          <w:sz w:val="20"/>
          <w:szCs w:val="20"/>
        </w:rPr>
      </w:pPr>
    </w:p>
    <w:p w:rsidR="00AD0F57" w:rsidRDefault="00782DBB">
      <w:pPr>
        <w:jc w:val="center"/>
        <w:rPr>
          <w:sz w:val="20"/>
          <w:szCs w:val="20"/>
        </w:rPr>
      </w:pPr>
      <w:r>
        <w:rPr>
          <w:noProof/>
          <w:sz w:val="20"/>
          <w:szCs w:val="20"/>
          <w:lang w:val="es-MX" w:eastAsia="es-MX"/>
        </w:rPr>
        <w:drawing>
          <wp:inline distT="0" distB="0" distL="0" distR="0" wp14:anchorId="27F04BB1" wp14:editId="48949699">
            <wp:extent cx="5614670" cy="38163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3816350"/>
                    </a:xfrm>
                    <a:prstGeom prst="rect">
                      <a:avLst/>
                    </a:prstGeom>
                    <a:noFill/>
                  </pic:spPr>
                </pic:pic>
              </a:graphicData>
            </a:graphic>
          </wp:inline>
        </w:drawing>
      </w:r>
    </w:p>
    <w:p w:rsidR="005D0A28" w:rsidRDefault="005D0A28">
      <w:pPr>
        <w:jc w:val="center"/>
        <w:rPr>
          <w:sz w:val="20"/>
          <w:szCs w:val="20"/>
        </w:rPr>
      </w:pPr>
    </w:p>
    <w:p w:rsidR="005D0A28" w:rsidRDefault="005D0A28">
      <w:pPr>
        <w:spacing w:after="0" w:line="240" w:lineRule="auto"/>
        <w:jc w:val="center"/>
        <w:rPr>
          <w:sz w:val="20"/>
          <w:szCs w:val="20"/>
        </w:rPr>
      </w:pPr>
    </w:p>
    <w:p w:rsidR="005D0A28" w:rsidRDefault="00782DBB">
      <w:pPr>
        <w:spacing w:after="0" w:line="240" w:lineRule="auto"/>
        <w:jc w:val="center"/>
        <w:rPr>
          <w:sz w:val="20"/>
          <w:szCs w:val="20"/>
        </w:rPr>
      </w:pPr>
      <w:r>
        <w:rPr>
          <w:noProof/>
          <w:sz w:val="20"/>
          <w:szCs w:val="20"/>
          <w:lang w:val="es-MX" w:eastAsia="es-MX"/>
        </w:rPr>
        <w:lastRenderedPageBreak/>
        <w:drawing>
          <wp:inline distT="0" distB="0" distL="0" distR="0" wp14:anchorId="6AA5465C" wp14:editId="618916E1">
            <wp:extent cx="5614670" cy="621220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6212205"/>
                    </a:xfrm>
                    <a:prstGeom prst="rect">
                      <a:avLst/>
                    </a:prstGeom>
                    <a:noFill/>
                  </pic:spPr>
                </pic:pic>
              </a:graphicData>
            </a:graphic>
          </wp:inline>
        </w:drawing>
      </w:r>
    </w:p>
    <w:p w:rsidR="005D0A28" w:rsidRDefault="005D0A28">
      <w:pPr>
        <w:spacing w:after="0" w:line="240" w:lineRule="auto"/>
        <w:jc w:val="center"/>
        <w:rPr>
          <w:sz w:val="20"/>
          <w:szCs w:val="20"/>
        </w:rPr>
      </w:pPr>
    </w:p>
    <w:p w:rsidR="005D0A28" w:rsidRDefault="005D0A28">
      <w:pPr>
        <w:spacing w:after="0" w:line="240" w:lineRule="auto"/>
        <w:jc w:val="center"/>
        <w:rPr>
          <w:sz w:val="20"/>
          <w:szCs w:val="20"/>
        </w:rPr>
      </w:pPr>
    </w:p>
    <w:p w:rsidR="005D0A28" w:rsidRDefault="005D0A28">
      <w:pPr>
        <w:spacing w:after="0" w:line="240" w:lineRule="auto"/>
        <w:jc w:val="center"/>
        <w:rPr>
          <w:sz w:val="20"/>
          <w:szCs w:val="20"/>
        </w:rPr>
      </w:pPr>
    </w:p>
    <w:p w:rsidR="005D0A28" w:rsidRDefault="005D0A28">
      <w:pPr>
        <w:spacing w:after="0" w:line="240" w:lineRule="auto"/>
        <w:jc w:val="center"/>
        <w:rPr>
          <w:sz w:val="20"/>
          <w:szCs w:val="20"/>
        </w:rPr>
      </w:pPr>
    </w:p>
    <w:p w:rsidR="005D0A28" w:rsidRDefault="005D0A28">
      <w:pPr>
        <w:spacing w:after="0" w:line="240" w:lineRule="auto"/>
        <w:jc w:val="center"/>
        <w:rPr>
          <w:sz w:val="20"/>
          <w:szCs w:val="20"/>
        </w:rPr>
      </w:pPr>
    </w:p>
    <w:p w:rsidR="005D0A28" w:rsidRDefault="005D0A28">
      <w:pPr>
        <w:spacing w:after="0" w:line="240" w:lineRule="auto"/>
        <w:jc w:val="center"/>
        <w:rPr>
          <w:sz w:val="20"/>
          <w:szCs w:val="20"/>
        </w:rPr>
      </w:pPr>
    </w:p>
    <w:p w:rsidR="005D0A28" w:rsidRDefault="005D0A28">
      <w:pPr>
        <w:spacing w:after="0" w:line="240" w:lineRule="auto"/>
        <w:jc w:val="center"/>
        <w:rPr>
          <w:sz w:val="20"/>
          <w:szCs w:val="20"/>
        </w:rPr>
      </w:pPr>
    </w:p>
    <w:tbl>
      <w:tblPr>
        <w:tblStyle w:val="ac"/>
        <w:tblW w:w="17506" w:type="dxa"/>
        <w:tblInd w:w="-70" w:type="dxa"/>
        <w:tblLayout w:type="fixed"/>
        <w:tblLook w:val="0400" w:firstRow="0" w:lastRow="0" w:firstColumn="0" w:lastColumn="0" w:noHBand="0" w:noVBand="1"/>
      </w:tblPr>
      <w:tblGrid>
        <w:gridCol w:w="252"/>
        <w:gridCol w:w="3079"/>
        <w:gridCol w:w="567"/>
        <w:gridCol w:w="4677"/>
        <w:gridCol w:w="4253"/>
        <w:gridCol w:w="3021"/>
        <w:gridCol w:w="1657"/>
      </w:tblGrid>
      <w:tr w:rsidR="005D0A28">
        <w:trPr>
          <w:trHeight w:val="330"/>
        </w:trPr>
        <w:tc>
          <w:tcPr>
            <w:tcW w:w="17506" w:type="dxa"/>
            <w:gridSpan w:val="7"/>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bottom"/>
          </w:tcPr>
          <w:p w:rsidR="005D0A28" w:rsidRDefault="00D87929">
            <w:pPr>
              <w:spacing w:after="0" w:line="240" w:lineRule="auto"/>
              <w:jc w:val="center"/>
              <w:rPr>
                <w:rFonts w:ascii="Times New Roman" w:eastAsia="Times New Roman" w:hAnsi="Times New Roman" w:cs="Times New Roman"/>
                <w:color w:val="FFFFFF"/>
                <w:sz w:val="28"/>
                <w:szCs w:val="28"/>
              </w:rPr>
            </w:pPr>
            <w:r>
              <w:rPr>
                <w:b/>
                <w:color w:val="FFFFFF"/>
                <w:sz w:val="28"/>
                <w:szCs w:val="28"/>
              </w:rPr>
              <w:t>COMPONENTE 3: RENDICIÓN DE CUENTAS</w:t>
            </w:r>
          </w:p>
        </w:tc>
      </w:tr>
      <w:tr w:rsidR="005D0A28">
        <w:trPr>
          <w:trHeight w:val="945"/>
        </w:trPr>
        <w:tc>
          <w:tcPr>
            <w:tcW w:w="3331" w:type="dxa"/>
            <w:gridSpan w:val="2"/>
            <w:tcBorders>
              <w:top w:val="single" w:sz="8" w:space="0" w:color="000000"/>
              <w:left w:val="single" w:sz="8" w:space="0" w:color="000000"/>
              <w:bottom w:val="single" w:sz="4"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sz w:val="28"/>
                <w:szCs w:val="28"/>
              </w:rPr>
            </w:pPr>
            <w:r>
              <w:rPr>
                <w:b/>
                <w:color w:val="FFFFFF"/>
                <w:sz w:val="28"/>
                <w:szCs w:val="28"/>
              </w:rPr>
              <w:t>SUBCOMPONENTE</w:t>
            </w:r>
          </w:p>
        </w:tc>
        <w:tc>
          <w:tcPr>
            <w:tcW w:w="5244" w:type="dxa"/>
            <w:gridSpan w:val="2"/>
            <w:tcBorders>
              <w:top w:val="single" w:sz="8" w:space="0" w:color="000000"/>
              <w:left w:val="single" w:sz="8" w:space="0" w:color="000000"/>
              <w:bottom w:val="single" w:sz="4"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color w:val="FFFFFF"/>
                <w:sz w:val="28"/>
                <w:szCs w:val="28"/>
              </w:rPr>
            </w:pPr>
            <w:r>
              <w:rPr>
                <w:b/>
                <w:color w:val="FFFFFF"/>
                <w:sz w:val="28"/>
                <w:szCs w:val="28"/>
              </w:rPr>
              <w:t>ACTIVIDADES</w:t>
            </w:r>
          </w:p>
        </w:tc>
        <w:tc>
          <w:tcPr>
            <w:tcW w:w="4253" w:type="dxa"/>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color w:val="FFFFFF"/>
                <w:sz w:val="28"/>
                <w:szCs w:val="28"/>
              </w:rPr>
            </w:pPr>
            <w:r>
              <w:rPr>
                <w:b/>
                <w:color w:val="FFFFFF"/>
                <w:sz w:val="28"/>
                <w:szCs w:val="28"/>
              </w:rPr>
              <w:t>META DEL PRODUCTO</w:t>
            </w:r>
          </w:p>
        </w:tc>
        <w:tc>
          <w:tcPr>
            <w:tcW w:w="3021" w:type="dxa"/>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color w:val="FFFFFF"/>
                <w:sz w:val="28"/>
                <w:szCs w:val="28"/>
              </w:rPr>
            </w:pPr>
            <w:r>
              <w:rPr>
                <w:b/>
                <w:color w:val="FFFFFF"/>
                <w:sz w:val="28"/>
                <w:szCs w:val="28"/>
              </w:rPr>
              <w:t>RESPONSABLE</w:t>
            </w:r>
          </w:p>
        </w:tc>
        <w:tc>
          <w:tcPr>
            <w:tcW w:w="1657" w:type="dxa"/>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color w:val="FFFFFF"/>
                <w:sz w:val="28"/>
                <w:szCs w:val="28"/>
              </w:rPr>
            </w:pPr>
            <w:r>
              <w:rPr>
                <w:b/>
                <w:color w:val="FFFFFF"/>
                <w:sz w:val="28"/>
                <w:szCs w:val="28"/>
              </w:rPr>
              <w:t>FECHA PROGRAMADA DE EJECUCION</w:t>
            </w:r>
          </w:p>
        </w:tc>
      </w:tr>
      <w:tr w:rsidR="005D0A28">
        <w:trPr>
          <w:trHeight w:val="805"/>
        </w:trPr>
        <w:tc>
          <w:tcPr>
            <w:tcW w:w="252" w:type="dxa"/>
            <w:vMerge w:val="restart"/>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color w:val="FFFFFF"/>
                <w:sz w:val="24"/>
                <w:szCs w:val="24"/>
              </w:rPr>
            </w:pPr>
            <w:r>
              <w:rPr>
                <w:color w:val="FFFFFF"/>
              </w:rPr>
              <w:t>1</w:t>
            </w:r>
          </w:p>
        </w:tc>
        <w:tc>
          <w:tcPr>
            <w:tcW w:w="3079" w:type="dxa"/>
            <w:vMerge w:val="restart"/>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rPr>
                <w:rFonts w:ascii="Times New Roman" w:eastAsia="Times New Roman" w:hAnsi="Times New Roman" w:cs="Times New Roman"/>
                <w:color w:val="FFFFFF"/>
                <w:sz w:val="28"/>
                <w:szCs w:val="28"/>
              </w:rPr>
            </w:pPr>
            <w:r>
              <w:rPr>
                <w:b/>
                <w:color w:val="FFFFFF"/>
                <w:sz w:val="28"/>
                <w:szCs w:val="28"/>
              </w:rPr>
              <w:t>Información de calidad y en lenguaje comprensible</w:t>
            </w: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sz w:val="24"/>
                <w:szCs w:val="24"/>
              </w:rPr>
            </w:pPr>
            <w:r>
              <w:rPr>
                <w:b/>
                <w:color w:val="000000"/>
              </w:rPr>
              <w:t>1.1</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pPr>
            <w:r>
              <w:t xml:space="preserve">Elaboración y aprobación del cronograma de audiencia de Rendición de Cuentas por el Subcomité de Rendición de Cuentas </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pPr>
            <w:r>
              <w:t>Cronograma de audiencia de Rendición de cuentas vigencia 2022</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pPr>
            <w:r>
              <w:t xml:space="preserve">Oficina Asesora de Planeación, Subcomité de Rendición de Cuentas </w:t>
            </w:r>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jc w:val="right"/>
            </w:pPr>
            <w:r>
              <w:t>Febrero 2023</w:t>
            </w:r>
          </w:p>
        </w:tc>
      </w:tr>
      <w:tr w:rsidR="005D0A28">
        <w:trPr>
          <w:trHeight w:val="745"/>
        </w:trPr>
        <w:tc>
          <w:tcPr>
            <w:tcW w:w="252"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3079"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sz w:val="24"/>
                <w:szCs w:val="24"/>
              </w:rPr>
            </w:pPr>
            <w:r>
              <w:rPr>
                <w:b/>
                <w:color w:val="000000"/>
              </w:rPr>
              <w:t>1.</w:t>
            </w:r>
            <w:r>
              <w:rPr>
                <w:b/>
              </w:rPr>
              <w:t>2</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pPr>
            <w:r>
              <w:t>Publicación de planes de acción 2023 en página web institucional</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rsidP="00AC4C7E">
            <w:pPr>
              <w:widowControl w:val="0"/>
              <w:spacing w:after="0" w:line="240" w:lineRule="auto"/>
              <w:ind w:left="100" w:right="149"/>
            </w:pPr>
            <w:r>
              <w:t xml:space="preserve">Documentos de planes de acción 2023 de dependencias publicados en página web </w:t>
            </w:r>
            <w:r w:rsidR="00AC4C7E">
              <w:t>d</w:t>
            </w:r>
            <w:r w:rsidR="00973A9C">
              <w:t>e</w:t>
            </w:r>
            <w:bookmarkStart w:id="1" w:name="_GoBack"/>
            <w:bookmarkEnd w:id="1"/>
            <w:r w:rsidR="00AC4C7E">
              <w:t xml:space="preserve"> la gobernación</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ind w:right="220"/>
            </w:pPr>
            <w:r>
              <w:t>Oficina Asesora de Planeación, Oficina TIC</w:t>
            </w:r>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ind w:left="102"/>
            </w:pPr>
            <w:r>
              <w:t>31 de enero de 2023</w:t>
            </w:r>
          </w:p>
        </w:tc>
      </w:tr>
      <w:tr w:rsidR="005D0A28">
        <w:trPr>
          <w:trHeight w:val="640"/>
        </w:trPr>
        <w:tc>
          <w:tcPr>
            <w:tcW w:w="252"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3079"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sz w:val="24"/>
                <w:szCs w:val="24"/>
              </w:rPr>
            </w:pPr>
            <w:r>
              <w:rPr>
                <w:b/>
                <w:color w:val="000000"/>
              </w:rPr>
              <w:t>1.</w:t>
            </w:r>
            <w:r>
              <w:rPr>
                <w:b/>
              </w:rPr>
              <w:t>3</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pPr>
            <w:r>
              <w:t>Elaboración, publicación y socialización Informe de Gestión 2022</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rsidP="00AC4C7E">
            <w:pPr>
              <w:widowControl w:val="0"/>
              <w:spacing w:after="0" w:line="240" w:lineRule="auto"/>
            </w:pPr>
            <w:r>
              <w:t>Un documento de informe de gestión 202</w:t>
            </w:r>
            <w:r w:rsidR="00AC4C7E">
              <w:t xml:space="preserve">2 publicado en página web </w:t>
            </w:r>
            <w:r w:rsidR="00AC4C7E">
              <w:t xml:space="preserve">de la </w:t>
            </w:r>
            <w:r w:rsidR="00AC4C7E">
              <w:t>gobernación.</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pPr>
            <w:r>
              <w:t>Oficina Asesora de Planeación, Oficina TIC</w:t>
            </w:r>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AC4C7E">
            <w:pPr>
              <w:widowControl w:val="0"/>
              <w:spacing w:after="0" w:line="240" w:lineRule="auto"/>
              <w:ind w:left="102"/>
              <w:jc w:val="right"/>
            </w:pPr>
            <w:r>
              <w:t>28 febrero</w:t>
            </w:r>
            <w:r w:rsidR="00D87929">
              <w:t xml:space="preserve"> de 2023</w:t>
            </w:r>
          </w:p>
        </w:tc>
      </w:tr>
      <w:tr w:rsidR="005D0A28">
        <w:trPr>
          <w:trHeight w:val="1105"/>
        </w:trPr>
        <w:tc>
          <w:tcPr>
            <w:tcW w:w="252"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3079"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sz w:val="24"/>
                <w:szCs w:val="24"/>
              </w:rPr>
            </w:pPr>
            <w:r>
              <w:rPr>
                <w:b/>
                <w:color w:val="000000"/>
              </w:rPr>
              <w:t>1.</w:t>
            </w:r>
            <w:r>
              <w:rPr>
                <w:b/>
              </w:rPr>
              <w:t>4</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before="240" w:after="240" w:line="240" w:lineRule="auto"/>
            </w:pPr>
            <w:r>
              <w:t xml:space="preserve">Emisión de avances de gestión en programa institucional de TV por </w:t>
            </w:r>
            <w:proofErr w:type="spellStart"/>
            <w:r>
              <w:t>Telecaribe</w:t>
            </w:r>
            <w:proofErr w:type="spellEnd"/>
            <w:r>
              <w:t>, como rendición permanente de cuentas</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before="240" w:after="240" w:line="240" w:lineRule="auto"/>
            </w:pPr>
            <w:r>
              <w:t xml:space="preserve">Programa semanal de TV emitido por </w:t>
            </w:r>
            <w:proofErr w:type="spellStart"/>
            <w:r>
              <w:t>Telecaribe</w:t>
            </w:r>
            <w:proofErr w:type="spellEnd"/>
            <w:r>
              <w:t xml:space="preserve"> con información de avances de gestión. </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ind w:right="73"/>
            </w:pPr>
            <w:r>
              <w:t xml:space="preserve">Oficina Asesora de Comunicaciones y Secretarios de Despacho. </w:t>
            </w:r>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after="0" w:line="240" w:lineRule="auto"/>
              <w:ind w:left="102"/>
              <w:jc w:val="right"/>
            </w:pPr>
            <w:r>
              <w:t>Semanal</w:t>
            </w:r>
          </w:p>
        </w:tc>
      </w:tr>
      <w:tr w:rsidR="005D0A28">
        <w:trPr>
          <w:trHeight w:val="211"/>
        </w:trPr>
        <w:tc>
          <w:tcPr>
            <w:tcW w:w="252"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3079"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sz w:val="24"/>
                <w:szCs w:val="24"/>
              </w:rPr>
            </w:pPr>
            <w:r>
              <w:rPr>
                <w:b/>
                <w:color w:val="000000"/>
              </w:rPr>
              <w:t>1.</w:t>
            </w:r>
            <w:r>
              <w:rPr>
                <w:b/>
              </w:rPr>
              <w:t>5</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before="240" w:after="240" w:line="240" w:lineRule="auto"/>
            </w:pPr>
            <w:r>
              <w:t>Divulgación de avances de gestión departamental y logros, en redes sociales institucionales, como parte del proceso de rendición permanente de cuentas.</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before="240" w:after="240" w:line="240" w:lineRule="auto"/>
            </w:pPr>
            <w:r>
              <w:t>Comunicación permanente a la comunidad de gestión, resultados, proyectos departamentales, en redes sociales institucionales.</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before="97" w:after="0" w:line="240" w:lineRule="auto"/>
            </w:pPr>
            <w:r>
              <w:t>Oficina Asesora de Planeación y  Oficina Asesora de Comunicaciones</w:t>
            </w:r>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before="97" w:after="0" w:line="240" w:lineRule="auto"/>
              <w:ind w:left="97"/>
              <w:jc w:val="right"/>
            </w:pPr>
            <w:r>
              <w:t>Permanente</w:t>
            </w:r>
          </w:p>
        </w:tc>
      </w:tr>
      <w:tr w:rsidR="00AD0F57">
        <w:trPr>
          <w:trHeight w:val="211"/>
        </w:trPr>
        <w:tc>
          <w:tcPr>
            <w:tcW w:w="252" w:type="dxa"/>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AD0F57" w:rsidRDefault="00AD0F57">
            <w:pPr>
              <w:widowControl w:val="0"/>
              <w:pBdr>
                <w:top w:val="nil"/>
                <w:left w:val="nil"/>
                <w:bottom w:val="nil"/>
                <w:right w:val="nil"/>
                <w:between w:val="nil"/>
              </w:pBdr>
              <w:spacing w:after="0"/>
            </w:pPr>
          </w:p>
        </w:tc>
        <w:tc>
          <w:tcPr>
            <w:tcW w:w="3079" w:type="dxa"/>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AD0F57" w:rsidRDefault="00AD0F57">
            <w:pPr>
              <w:widowControl w:val="0"/>
              <w:pBdr>
                <w:top w:val="nil"/>
                <w:left w:val="nil"/>
                <w:bottom w:val="nil"/>
                <w:right w:val="nil"/>
                <w:between w:val="nil"/>
              </w:pBdr>
              <w:spacing w:after="0"/>
            </w:pP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AD0F57" w:rsidRDefault="00AD0F57">
            <w:pPr>
              <w:spacing w:after="0" w:line="240" w:lineRule="auto"/>
              <w:jc w:val="center"/>
              <w:rPr>
                <w:b/>
                <w:color w:val="000000"/>
              </w:rPr>
            </w:pPr>
            <w:r>
              <w:rPr>
                <w:b/>
                <w:color w:val="000000"/>
              </w:rPr>
              <w:t>1.6</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AD0F57" w:rsidRDefault="00AD0F57">
            <w:pPr>
              <w:widowControl w:val="0"/>
              <w:spacing w:before="240" w:after="240" w:line="240" w:lineRule="auto"/>
            </w:pPr>
            <w:r>
              <w:t xml:space="preserve">Construcción de Estrategia de Comunicación de  la Rendición de Cuentas </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AD0F57" w:rsidRDefault="00782DBB">
            <w:pPr>
              <w:widowControl w:val="0"/>
              <w:spacing w:before="240" w:after="240" w:line="240" w:lineRule="auto"/>
            </w:pPr>
            <w:r>
              <w:t>Estrategia de Comunicación aprobada por subcomité de Rendición de Cuentas</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AD0F57" w:rsidRDefault="00782DBB">
            <w:pPr>
              <w:widowControl w:val="0"/>
              <w:spacing w:before="97" w:after="0" w:line="240" w:lineRule="auto"/>
            </w:pPr>
            <w:r>
              <w:t xml:space="preserve">Oficina Asesora de Comunicaciones </w:t>
            </w:r>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AD0F57" w:rsidRDefault="00782DBB">
            <w:pPr>
              <w:widowControl w:val="0"/>
              <w:spacing w:before="97" w:after="0" w:line="240" w:lineRule="auto"/>
              <w:ind w:left="97"/>
              <w:jc w:val="right"/>
            </w:pPr>
            <w:r>
              <w:t xml:space="preserve">Primer trimestre </w:t>
            </w:r>
          </w:p>
        </w:tc>
      </w:tr>
      <w:tr w:rsidR="005D0A28">
        <w:trPr>
          <w:trHeight w:val="616"/>
        </w:trPr>
        <w:tc>
          <w:tcPr>
            <w:tcW w:w="252" w:type="dxa"/>
            <w:vMerge w:val="restart"/>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jc w:val="center"/>
              <w:rPr>
                <w:rFonts w:ascii="Times New Roman" w:eastAsia="Times New Roman" w:hAnsi="Times New Roman" w:cs="Times New Roman"/>
                <w:color w:val="FFFFFF"/>
                <w:sz w:val="24"/>
                <w:szCs w:val="24"/>
              </w:rPr>
            </w:pPr>
            <w:r>
              <w:rPr>
                <w:color w:val="FFFFFF"/>
              </w:rPr>
              <w:t>2</w:t>
            </w:r>
          </w:p>
        </w:tc>
        <w:tc>
          <w:tcPr>
            <w:tcW w:w="3079" w:type="dxa"/>
            <w:vMerge w:val="restart"/>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D87929">
            <w:pPr>
              <w:spacing w:after="0" w:line="240" w:lineRule="auto"/>
              <w:rPr>
                <w:rFonts w:ascii="Times New Roman" w:eastAsia="Times New Roman" w:hAnsi="Times New Roman" w:cs="Times New Roman"/>
                <w:color w:val="FFFFFF"/>
                <w:sz w:val="28"/>
                <w:szCs w:val="28"/>
              </w:rPr>
            </w:pPr>
            <w:r>
              <w:rPr>
                <w:b/>
                <w:color w:val="FFFFFF"/>
                <w:sz w:val="28"/>
                <w:szCs w:val="28"/>
              </w:rPr>
              <w:t>Diálogo de doble vía con la ciudadanía y sus organizaciones </w:t>
            </w:r>
          </w:p>
        </w:tc>
        <w:tc>
          <w:tcPr>
            <w:tcW w:w="567" w:type="dxa"/>
            <w:vMerge w:val="restart"/>
            <w:tcBorders>
              <w:top w:val="single" w:sz="4" w:space="0" w:color="000000"/>
              <w:left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D87929">
            <w:pPr>
              <w:spacing w:after="0" w:line="240" w:lineRule="auto"/>
              <w:jc w:val="center"/>
              <w:rPr>
                <w:b/>
              </w:rPr>
            </w:pPr>
            <w:r>
              <w:rPr>
                <w:b/>
              </w:rPr>
              <w:t>2.1</w:t>
            </w:r>
          </w:p>
        </w:tc>
        <w:tc>
          <w:tcPr>
            <w:tcW w:w="4677" w:type="dxa"/>
            <w:vMerge w:val="restart"/>
            <w:tcBorders>
              <w:top w:val="single" w:sz="8" w:space="0" w:color="000000"/>
              <w:left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before="97" w:after="0" w:line="240" w:lineRule="auto"/>
              <w:ind w:left="95" w:right="111"/>
            </w:pPr>
            <w:r>
              <w:t>Realización de Audiencias públicas generales de rendición de cuentas a la ciudadanía de resultados de la gestión en la vigencia 2022.</w:t>
            </w:r>
          </w:p>
        </w:tc>
        <w:tc>
          <w:tcPr>
            <w:tcW w:w="4253" w:type="dxa"/>
            <w:tcBorders>
              <w:top w:val="single" w:sz="8" w:space="0" w:color="000000"/>
              <w:left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widowControl w:val="0"/>
              <w:spacing w:before="99" w:after="0" w:line="237" w:lineRule="auto"/>
              <w:ind w:right="630"/>
            </w:pPr>
            <w:r>
              <w:t>Una audiencia pública general celebrada en el primer trimestre de 2023.</w:t>
            </w:r>
          </w:p>
        </w:tc>
        <w:tc>
          <w:tcPr>
            <w:tcW w:w="3021" w:type="dxa"/>
            <w:vMerge w:val="restart"/>
            <w:tcBorders>
              <w:top w:val="single" w:sz="8" w:space="0" w:color="000000"/>
              <w:left w:val="single" w:sz="8" w:space="0" w:color="000000"/>
              <w:right w:val="single" w:sz="8" w:space="0" w:color="000000"/>
            </w:tcBorders>
            <w:shd w:val="clear" w:color="auto" w:fill="DBE5F1"/>
            <w:vAlign w:val="center"/>
          </w:tcPr>
          <w:p w:rsidR="005D0A28" w:rsidRDefault="00D87929">
            <w:pPr>
              <w:widowControl w:val="0"/>
              <w:spacing w:before="97" w:after="0" w:line="240" w:lineRule="auto"/>
              <w:ind w:right="34"/>
            </w:pPr>
            <w:r>
              <w:t>Equipo intersectorial de RPC (Oficina Asesora de Planeación, Secretaría General, Comunicaciones y Secretaria de la Equidad entre otros)</w:t>
            </w:r>
          </w:p>
        </w:tc>
        <w:tc>
          <w:tcPr>
            <w:tcW w:w="1657" w:type="dxa"/>
            <w:tcBorders>
              <w:top w:val="single" w:sz="8" w:space="0" w:color="000000"/>
              <w:left w:val="single" w:sz="8" w:space="0" w:color="000000"/>
              <w:bottom w:val="single" w:sz="4" w:space="0" w:color="000000"/>
              <w:right w:val="single" w:sz="8" w:space="0" w:color="000000"/>
            </w:tcBorders>
            <w:shd w:val="clear" w:color="auto" w:fill="DBE5F1"/>
            <w:vAlign w:val="center"/>
          </w:tcPr>
          <w:p w:rsidR="005D0A28" w:rsidRDefault="00D87929">
            <w:pPr>
              <w:widowControl w:val="0"/>
              <w:spacing w:before="97" w:after="0" w:line="240" w:lineRule="auto"/>
              <w:ind w:left="97"/>
              <w:jc w:val="right"/>
            </w:pPr>
            <w:r>
              <w:t xml:space="preserve"> Marzo 2023</w:t>
            </w:r>
          </w:p>
          <w:p w:rsidR="005D0A28" w:rsidRDefault="005D0A28">
            <w:pPr>
              <w:widowControl w:val="0"/>
              <w:spacing w:before="97" w:after="0" w:line="240" w:lineRule="auto"/>
              <w:ind w:left="97"/>
              <w:jc w:val="right"/>
            </w:pPr>
          </w:p>
        </w:tc>
      </w:tr>
      <w:tr w:rsidR="005D0A28">
        <w:trPr>
          <w:trHeight w:val="591"/>
        </w:trPr>
        <w:tc>
          <w:tcPr>
            <w:tcW w:w="252" w:type="dxa"/>
            <w:vMerge/>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3079" w:type="dxa"/>
            <w:vMerge/>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567" w:type="dxa"/>
            <w:vMerge/>
            <w:tcBorders>
              <w:top w:val="single" w:sz="4" w:space="0" w:color="000000"/>
              <w:left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4677" w:type="dxa"/>
            <w:vMerge/>
            <w:tcBorders>
              <w:top w:val="single" w:sz="8" w:space="0" w:color="000000"/>
              <w:left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5D0A28">
            <w:pPr>
              <w:widowControl w:val="0"/>
              <w:pBdr>
                <w:top w:val="nil"/>
                <w:left w:val="nil"/>
                <w:bottom w:val="nil"/>
                <w:right w:val="nil"/>
                <w:between w:val="nil"/>
              </w:pBdr>
              <w:spacing w:after="0"/>
            </w:pPr>
          </w:p>
        </w:tc>
        <w:tc>
          <w:tcPr>
            <w:tcW w:w="4253" w:type="dxa"/>
            <w:tcBorders>
              <w:top w:val="single" w:sz="8" w:space="0" w:color="000000"/>
              <w:left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spacing w:after="0" w:line="240" w:lineRule="auto"/>
            </w:pPr>
            <w:r>
              <w:t>Audiencias de rendición pública de cuentas municipales y/o regionales</w:t>
            </w:r>
          </w:p>
        </w:tc>
        <w:tc>
          <w:tcPr>
            <w:tcW w:w="3021" w:type="dxa"/>
            <w:vMerge/>
            <w:tcBorders>
              <w:top w:val="single" w:sz="8" w:space="0" w:color="000000"/>
              <w:left w:val="single" w:sz="8" w:space="0" w:color="000000"/>
              <w:right w:val="single" w:sz="8" w:space="0" w:color="000000"/>
            </w:tcBorders>
            <w:shd w:val="clear" w:color="auto" w:fill="DBE5F1"/>
            <w:vAlign w:val="center"/>
          </w:tcPr>
          <w:p w:rsidR="005D0A28" w:rsidRDefault="005D0A28">
            <w:pPr>
              <w:widowControl w:val="0"/>
              <w:pBdr>
                <w:top w:val="nil"/>
                <w:left w:val="nil"/>
                <w:bottom w:val="nil"/>
                <w:right w:val="nil"/>
                <w:between w:val="nil"/>
              </w:pBdr>
              <w:spacing w:after="0"/>
            </w:pPr>
          </w:p>
        </w:tc>
        <w:tc>
          <w:tcPr>
            <w:tcW w:w="165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D0A28" w:rsidRDefault="00D87929">
            <w:pPr>
              <w:spacing w:after="0" w:line="240" w:lineRule="auto"/>
              <w:jc w:val="right"/>
            </w:pPr>
            <w:r>
              <w:t>Marzo 2023</w:t>
            </w:r>
          </w:p>
        </w:tc>
      </w:tr>
      <w:tr w:rsidR="005D0A28">
        <w:trPr>
          <w:trHeight w:val="591"/>
        </w:trPr>
        <w:tc>
          <w:tcPr>
            <w:tcW w:w="252" w:type="dxa"/>
            <w:vMerge/>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3079" w:type="dxa"/>
            <w:vMerge/>
            <w:tcBorders>
              <w:top w:val="single" w:sz="4"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567" w:type="dxa"/>
            <w:vMerge/>
            <w:tcBorders>
              <w:top w:val="single" w:sz="4" w:space="0" w:color="000000"/>
              <w:left w:val="single" w:sz="4" w:space="0" w:color="000000"/>
              <w:right w:val="single" w:sz="8" w:space="0" w:color="000000"/>
            </w:tcBorders>
            <w:shd w:val="clear" w:color="auto" w:fill="DBE5F1"/>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4677" w:type="dxa"/>
            <w:vMerge/>
            <w:tcBorders>
              <w:top w:val="single" w:sz="8" w:space="0" w:color="000000"/>
              <w:left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5D0A28">
            <w:pPr>
              <w:widowControl w:val="0"/>
              <w:pBdr>
                <w:top w:val="nil"/>
                <w:left w:val="nil"/>
                <w:bottom w:val="nil"/>
                <w:right w:val="nil"/>
                <w:between w:val="nil"/>
              </w:pBdr>
              <w:spacing w:after="0"/>
            </w:pPr>
          </w:p>
        </w:tc>
        <w:tc>
          <w:tcPr>
            <w:tcW w:w="4253" w:type="dxa"/>
            <w:tcBorders>
              <w:top w:val="single" w:sz="8" w:space="0" w:color="000000"/>
              <w:left w:val="single" w:sz="8" w:space="0" w:color="000000"/>
              <w:right w:val="single" w:sz="8" w:space="0" w:color="000000"/>
            </w:tcBorders>
            <w:shd w:val="clear" w:color="auto" w:fill="DBE5F1"/>
            <w:tcMar>
              <w:top w:w="100" w:type="dxa"/>
              <w:left w:w="100" w:type="dxa"/>
              <w:bottom w:w="100" w:type="dxa"/>
              <w:right w:w="100" w:type="dxa"/>
            </w:tcMar>
            <w:vAlign w:val="center"/>
          </w:tcPr>
          <w:p w:rsidR="005D0A28" w:rsidRDefault="00D87929">
            <w:pPr>
              <w:spacing w:after="0" w:line="240" w:lineRule="auto"/>
            </w:pPr>
            <w:r>
              <w:t xml:space="preserve">Audiencias de Rendición de cuentas sectoriales </w:t>
            </w:r>
          </w:p>
        </w:tc>
        <w:tc>
          <w:tcPr>
            <w:tcW w:w="3021" w:type="dxa"/>
            <w:vMerge/>
            <w:tcBorders>
              <w:top w:val="single" w:sz="8" w:space="0" w:color="000000"/>
              <w:left w:val="single" w:sz="8" w:space="0" w:color="000000"/>
              <w:right w:val="single" w:sz="8" w:space="0" w:color="000000"/>
            </w:tcBorders>
            <w:shd w:val="clear" w:color="auto" w:fill="DBE5F1"/>
            <w:vAlign w:val="center"/>
          </w:tcPr>
          <w:p w:rsidR="005D0A28" w:rsidRDefault="005D0A28">
            <w:pPr>
              <w:widowControl w:val="0"/>
              <w:pBdr>
                <w:top w:val="nil"/>
                <w:left w:val="nil"/>
                <w:bottom w:val="nil"/>
                <w:right w:val="nil"/>
                <w:between w:val="nil"/>
              </w:pBdr>
              <w:spacing w:after="0"/>
            </w:pPr>
          </w:p>
        </w:tc>
        <w:tc>
          <w:tcPr>
            <w:tcW w:w="165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D0A28" w:rsidRDefault="00D87929" w:rsidP="00DA3610">
            <w:pPr>
              <w:spacing w:after="0" w:line="240" w:lineRule="auto"/>
              <w:jc w:val="right"/>
            </w:pPr>
            <w:r>
              <w:t xml:space="preserve">     A más tardar </w:t>
            </w:r>
            <w:r w:rsidR="00DA3610">
              <w:t>3</w:t>
            </w:r>
            <w:r>
              <w:t>0-</w:t>
            </w:r>
            <w:r w:rsidR="00DA3610">
              <w:t>nov</w:t>
            </w:r>
            <w:r>
              <w:t>-23</w:t>
            </w:r>
          </w:p>
        </w:tc>
      </w:tr>
      <w:tr w:rsidR="00524B12">
        <w:trPr>
          <w:trHeight w:val="1342"/>
        </w:trPr>
        <w:tc>
          <w:tcPr>
            <w:tcW w:w="252" w:type="dxa"/>
            <w:vMerge w:val="restart"/>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24B12" w:rsidRDefault="00524B12" w:rsidP="00524B12">
            <w:pPr>
              <w:spacing w:after="0" w:line="240" w:lineRule="auto"/>
              <w:jc w:val="center"/>
              <w:rPr>
                <w:rFonts w:ascii="Times New Roman" w:eastAsia="Times New Roman" w:hAnsi="Times New Roman" w:cs="Times New Roman"/>
                <w:color w:val="FFFFFF"/>
                <w:sz w:val="24"/>
                <w:szCs w:val="24"/>
              </w:rPr>
            </w:pPr>
            <w:r>
              <w:rPr>
                <w:color w:val="FFFFFF"/>
              </w:rPr>
              <w:lastRenderedPageBreak/>
              <w:t>3</w:t>
            </w:r>
          </w:p>
        </w:tc>
        <w:tc>
          <w:tcPr>
            <w:tcW w:w="3079" w:type="dxa"/>
            <w:vMerge w:val="restart"/>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24B12" w:rsidRDefault="00524B12" w:rsidP="00524B12">
            <w:pPr>
              <w:spacing w:after="0" w:line="240" w:lineRule="auto"/>
              <w:rPr>
                <w:rFonts w:ascii="Times New Roman" w:eastAsia="Times New Roman" w:hAnsi="Times New Roman" w:cs="Times New Roman"/>
                <w:color w:val="FFFFFF"/>
                <w:sz w:val="28"/>
                <w:szCs w:val="28"/>
              </w:rPr>
            </w:pPr>
            <w:r>
              <w:rPr>
                <w:b/>
                <w:color w:val="FFFFFF"/>
                <w:sz w:val="28"/>
                <w:szCs w:val="28"/>
              </w:rPr>
              <w:t>Incentivos para motivar la cultura de la rendición y petición de cuentas</w:t>
            </w: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24B12" w:rsidRDefault="00524B12" w:rsidP="00524B12">
            <w:pPr>
              <w:spacing w:after="0" w:line="240" w:lineRule="auto"/>
              <w:jc w:val="center"/>
              <w:rPr>
                <w:b/>
              </w:rPr>
            </w:pPr>
            <w:r>
              <w:rPr>
                <w:b/>
              </w:rPr>
              <w:t>3.1</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left="95" w:right="96"/>
            </w:pPr>
            <w:r>
              <w:t>Identificación, caracterización y convocatoria de grupos de valor (institucionales y poblacionales) que participen en los eventos de rendición de cuentas</w:t>
            </w:r>
            <w:r>
              <w:t xml:space="preserve"> del departamento</w:t>
            </w:r>
            <w:r>
              <w:t>.</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after="0" w:line="238" w:lineRule="auto"/>
              <w:ind w:right="499"/>
            </w:pPr>
            <w:r>
              <w:t>Caracterización de grupos de valor identificados</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pPr>
            <w:r>
              <w:t xml:space="preserve">Secretaria de la Equidad y Poder Popular </w:t>
            </w:r>
            <w:r w:rsidR="00DB6499">
              <w:t xml:space="preserve">y Oficina de </w:t>
            </w:r>
            <w:proofErr w:type="spellStart"/>
            <w:r w:rsidR="00DB6499">
              <w:t>Planeaciòn</w:t>
            </w:r>
            <w:proofErr w:type="spellEnd"/>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left="97"/>
              <w:jc w:val="right"/>
            </w:pPr>
            <w:r>
              <w:t>30-marzo -</w:t>
            </w:r>
            <w:r>
              <w:t>23</w:t>
            </w:r>
          </w:p>
        </w:tc>
      </w:tr>
      <w:tr w:rsidR="00524B12">
        <w:trPr>
          <w:trHeight w:val="719"/>
        </w:trPr>
        <w:tc>
          <w:tcPr>
            <w:tcW w:w="252"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24B12" w:rsidRDefault="00524B12" w:rsidP="00524B12">
            <w:pPr>
              <w:widowControl w:val="0"/>
              <w:pBdr>
                <w:top w:val="nil"/>
                <w:left w:val="nil"/>
                <w:bottom w:val="nil"/>
                <w:right w:val="nil"/>
                <w:between w:val="nil"/>
              </w:pBdr>
              <w:spacing w:after="0"/>
            </w:pPr>
          </w:p>
        </w:tc>
        <w:tc>
          <w:tcPr>
            <w:tcW w:w="3079"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24B12" w:rsidRDefault="00524B12" w:rsidP="00524B12">
            <w:pPr>
              <w:widowControl w:val="0"/>
              <w:pBdr>
                <w:top w:val="nil"/>
                <w:left w:val="nil"/>
                <w:bottom w:val="nil"/>
                <w:right w:val="nil"/>
                <w:between w:val="nil"/>
              </w:pBdr>
              <w:spacing w:after="0"/>
            </w:pP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24B12" w:rsidRDefault="00524B12" w:rsidP="00524B12">
            <w:pPr>
              <w:spacing w:after="0" w:line="240" w:lineRule="auto"/>
              <w:jc w:val="center"/>
              <w:rPr>
                <w:b/>
              </w:rPr>
            </w:pPr>
            <w:r>
              <w:rPr>
                <w:b/>
              </w:rPr>
              <w:t>3.2</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left="95" w:right="96"/>
            </w:pPr>
            <w:r>
              <w:t>Identificación, caracterización y convocatoria de grupos de valor (institucionales y poblacionales) que participen en los eventos de rendición de cuentas en los municipios.</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after="0" w:line="238" w:lineRule="auto"/>
              <w:ind w:right="499"/>
            </w:pPr>
            <w:r>
              <w:t>Caracterización de grupos de valor identificados</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pPr>
            <w:r>
              <w:t xml:space="preserve">Secretaria de la Equidad y Poder Popular </w:t>
            </w:r>
            <w:r w:rsidR="00FC631B">
              <w:t xml:space="preserve">y Oficina de </w:t>
            </w:r>
            <w:proofErr w:type="spellStart"/>
            <w:r w:rsidR="00FC631B">
              <w:t>Planeaciòn</w:t>
            </w:r>
            <w:proofErr w:type="spellEnd"/>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left="97"/>
              <w:jc w:val="right"/>
            </w:pPr>
            <w:r>
              <w:t>30-jun-23</w:t>
            </w:r>
          </w:p>
        </w:tc>
      </w:tr>
      <w:tr w:rsidR="00524B12">
        <w:trPr>
          <w:trHeight w:val="750"/>
        </w:trPr>
        <w:tc>
          <w:tcPr>
            <w:tcW w:w="252" w:type="dxa"/>
            <w:vMerge w:val="restart"/>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24B12" w:rsidRDefault="00524B12" w:rsidP="00524B12">
            <w:pPr>
              <w:spacing w:after="0" w:line="240" w:lineRule="auto"/>
              <w:jc w:val="center"/>
              <w:rPr>
                <w:rFonts w:ascii="Times New Roman" w:eastAsia="Times New Roman" w:hAnsi="Times New Roman" w:cs="Times New Roman"/>
                <w:color w:val="FFFFFF"/>
                <w:sz w:val="24"/>
                <w:szCs w:val="24"/>
              </w:rPr>
            </w:pPr>
            <w:r>
              <w:rPr>
                <w:color w:val="FFFFFF"/>
              </w:rPr>
              <w:t>3</w:t>
            </w:r>
          </w:p>
        </w:tc>
        <w:tc>
          <w:tcPr>
            <w:tcW w:w="3079" w:type="dxa"/>
            <w:vMerge w:val="restart"/>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24B12" w:rsidRDefault="00524B12" w:rsidP="00524B12">
            <w:pPr>
              <w:spacing w:after="0" w:line="240" w:lineRule="auto"/>
              <w:rPr>
                <w:rFonts w:ascii="Times New Roman" w:eastAsia="Times New Roman" w:hAnsi="Times New Roman" w:cs="Times New Roman"/>
                <w:color w:val="FFFFFF"/>
                <w:sz w:val="28"/>
                <w:szCs w:val="28"/>
              </w:rPr>
            </w:pPr>
            <w:r>
              <w:rPr>
                <w:b/>
                <w:color w:val="FFFFFF"/>
                <w:sz w:val="28"/>
                <w:szCs w:val="28"/>
              </w:rPr>
              <w:t>Evaluación y retroalimentación a la gestión institucional </w:t>
            </w: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24B12" w:rsidRDefault="00524B12" w:rsidP="00524B12">
            <w:pPr>
              <w:spacing w:after="0" w:line="240" w:lineRule="auto"/>
              <w:jc w:val="center"/>
              <w:rPr>
                <w:rFonts w:ascii="Times New Roman" w:eastAsia="Times New Roman" w:hAnsi="Times New Roman" w:cs="Times New Roman"/>
                <w:sz w:val="24"/>
                <w:szCs w:val="24"/>
              </w:rPr>
            </w:pPr>
            <w:r>
              <w:rPr>
                <w:b/>
              </w:rPr>
              <w:t>3</w:t>
            </w:r>
            <w:r>
              <w:rPr>
                <w:b/>
                <w:color w:val="000000"/>
              </w:rPr>
              <w:t>.1</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after="0" w:line="240" w:lineRule="auto"/>
              <w:ind w:left="95" w:right="182"/>
            </w:pPr>
            <w:r>
              <w:t>Evaluación de cumplimiento e incidencia de la Estrategia Departamental de Rendición Pública de Cuentas.</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right="257"/>
            </w:pPr>
            <w:r>
              <w:t>Un documento de informe de evaluación de la estrategia socializado en Consejo de Gobierno y publicado en página web institucional.</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right="147"/>
            </w:pPr>
            <w:r>
              <w:t>Oficina de Control Interno</w:t>
            </w:r>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left="97"/>
              <w:jc w:val="right"/>
            </w:pPr>
            <w:r>
              <w:t>29-dic-22</w:t>
            </w:r>
          </w:p>
        </w:tc>
      </w:tr>
      <w:tr w:rsidR="00524B12">
        <w:trPr>
          <w:trHeight w:val="495"/>
        </w:trPr>
        <w:tc>
          <w:tcPr>
            <w:tcW w:w="252"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24B12" w:rsidRDefault="00524B12" w:rsidP="00524B12">
            <w:pPr>
              <w:widowControl w:val="0"/>
              <w:pBdr>
                <w:top w:val="nil"/>
                <w:left w:val="nil"/>
                <w:bottom w:val="nil"/>
                <w:right w:val="nil"/>
                <w:between w:val="nil"/>
              </w:pBdr>
              <w:spacing w:after="0"/>
            </w:pPr>
          </w:p>
        </w:tc>
        <w:tc>
          <w:tcPr>
            <w:tcW w:w="3079" w:type="dxa"/>
            <w:vMerge/>
            <w:tcBorders>
              <w:top w:val="single" w:sz="4" w:space="0" w:color="000000"/>
              <w:left w:val="single" w:sz="4" w:space="0" w:color="000000"/>
              <w:bottom w:val="single" w:sz="4" w:space="0" w:color="000000"/>
              <w:right w:val="single" w:sz="4" w:space="0" w:color="000000"/>
            </w:tcBorders>
            <w:shd w:val="clear" w:color="auto" w:fill="948A54"/>
            <w:tcMar>
              <w:top w:w="0" w:type="dxa"/>
              <w:left w:w="70" w:type="dxa"/>
              <w:bottom w:w="0" w:type="dxa"/>
              <w:right w:w="70" w:type="dxa"/>
            </w:tcMar>
            <w:vAlign w:val="center"/>
          </w:tcPr>
          <w:p w:rsidR="00524B12" w:rsidRDefault="00524B12" w:rsidP="00524B12">
            <w:pPr>
              <w:widowControl w:val="0"/>
              <w:pBdr>
                <w:top w:val="nil"/>
                <w:left w:val="nil"/>
                <w:bottom w:val="nil"/>
                <w:right w:val="nil"/>
                <w:between w:val="nil"/>
              </w:pBdr>
              <w:spacing w:after="0"/>
            </w:pPr>
          </w:p>
        </w:tc>
        <w:tc>
          <w:tcPr>
            <w:tcW w:w="567" w:type="dxa"/>
            <w:tcBorders>
              <w:top w:val="single" w:sz="4" w:space="0" w:color="000000"/>
              <w:left w:val="single" w:sz="4" w:space="0" w:color="000000"/>
              <w:bottom w:val="single" w:sz="4" w:space="0" w:color="000000"/>
              <w:right w:val="single" w:sz="8" w:space="0" w:color="000000"/>
            </w:tcBorders>
            <w:shd w:val="clear" w:color="auto" w:fill="DBE5F1"/>
            <w:tcMar>
              <w:top w:w="0" w:type="dxa"/>
              <w:left w:w="70" w:type="dxa"/>
              <w:bottom w:w="0" w:type="dxa"/>
              <w:right w:w="70" w:type="dxa"/>
            </w:tcMar>
            <w:vAlign w:val="center"/>
          </w:tcPr>
          <w:p w:rsidR="00524B12" w:rsidRDefault="00524B12" w:rsidP="00524B12">
            <w:pPr>
              <w:spacing w:after="0" w:line="240" w:lineRule="auto"/>
              <w:jc w:val="center"/>
              <w:rPr>
                <w:rFonts w:ascii="Times New Roman" w:eastAsia="Times New Roman" w:hAnsi="Times New Roman" w:cs="Times New Roman"/>
                <w:sz w:val="24"/>
                <w:szCs w:val="24"/>
              </w:rPr>
            </w:pPr>
            <w:r>
              <w:rPr>
                <w:b/>
              </w:rPr>
              <w:t>3</w:t>
            </w:r>
            <w:r>
              <w:rPr>
                <w:b/>
                <w:color w:val="000000"/>
              </w:rPr>
              <w:t>.2</w:t>
            </w:r>
          </w:p>
        </w:tc>
        <w:tc>
          <w:tcPr>
            <w:tcW w:w="467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after="0" w:line="240" w:lineRule="auto"/>
              <w:ind w:left="95" w:right="361"/>
            </w:pPr>
            <w:r>
              <w:t>Evaluación ciudadana de la Audiencia de RPC sobre la gestión de gobierno de 2022.</w:t>
            </w:r>
          </w:p>
        </w:tc>
        <w:tc>
          <w:tcPr>
            <w:tcW w:w="42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right="433"/>
            </w:pPr>
            <w:r>
              <w:t>Link en la página web para que la ciudadanía evalúe la audiencia de RPC vigencia 2022.</w:t>
            </w:r>
          </w:p>
        </w:tc>
        <w:tc>
          <w:tcPr>
            <w:tcW w:w="302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pPr>
            <w:r>
              <w:t>Oficina Asesora de Planeación, Secretaría de la Equidad y el Poder Popular</w:t>
            </w:r>
          </w:p>
        </w:tc>
        <w:tc>
          <w:tcPr>
            <w:tcW w:w="165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rsidR="00524B12" w:rsidRDefault="00524B12" w:rsidP="00524B12">
            <w:pPr>
              <w:widowControl w:val="0"/>
              <w:spacing w:before="97" w:after="0" w:line="240" w:lineRule="auto"/>
              <w:ind w:left="97"/>
              <w:jc w:val="right"/>
            </w:pPr>
            <w:r>
              <w:t>30-abr-22</w:t>
            </w:r>
          </w:p>
        </w:tc>
      </w:tr>
    </w:tbl>
    <w:p w:rsidR="005D0A28" w:rsidRDefault="005D0A28">
      <w:pPr>
        <w:jc w:val="center"/>
        <w:rPr>
          <w:sz w:val="20"/>
          <w:szCs w:val="20"/>
        </w:rPr>
      </w:pPr>
    </w:p>
    <w:p w:rsidR="005D0A28" w:rsidRDefault="005D0A28">
      <w:pPr>
        <w:jc w:val="center"/>
        <w:rPr>
          <w:sz w:val="20"/>
          <w:szCs w:val="20"/>
        </w:rPr>
      </w:pPr>
    </w:p>
    <w:p w:rsidR="005D0A28" w:rsidRDefault="005D0A28">
      <w:pPr>
        <w:jc w:val="center"/>
        <w:rPr>
          <w:sz w:val="20"/>
          <w:szCs w:val="20"/>
        </w:rPr>
      </w:pPr>
    </w:p>
    <w:p w:rsidR="005D0A28" w:rsidRDefault="005D0A28">
      <w:pPr>
        <w:spacing w:after="0" w:line="240" w:lineRule="auto"/>
      </w:pPr>
    </w:p>
    <w:p w:rsidR="005D0A28" w:rsidRDefault="005D0A28">
      <w:pPr>
        <w:spacing w:after="0" w:line="240" w:lineRule="auto"/>
      </w:pPr>
    </w:p>
    <w:p w:rsidR="005D0A28" w:rsidRDefault="005D0A28">
      <w:pPr>
        <w:spacing w:after="0" w:line="240" w:lineRule="auto"/>
      </w:pPr>
    </w:p>
    <w:tbl>
      <w:tblPr>
        <w:tblStyle w:val="ad"/>
        <w:tblW w:w="17640" w:type="dxa"/>
        <w:tblInd w:w="-15" w:type="dxa"/>
        <w:tblLayout w:type="fixed"/>
        <w:tblLook w:val="0400" w:firstRow="0" w:lastRow="0" w:firstColumn="0" w:lastColumn="0" w:noHBand="0" w:noVBand="1"/>
      </w:tblPr>
      <w:tblGrid>
        <w:gridCol w:w="255"/>
        <w:gridCol w:w="3060"/>
        <w:gridCol w:w="990"/>
        <w:gridCol w:w="4470"/>
        <w:gridCol w:w="2760"/>
        <w:gridCol w:w="3480"/>
        <w:gridCol w:w="2625"/>
      </w:tblGrid>
      <w:tr w:rsidR="005D0A28">
        <w:trPr>
          <w:trHeight w:val="315"/>
        </w:trPr>
        <w:tc>
          <w:tcPr>
            <w:tcW w:w="17640" w:type="dxa"/>
            <w:gridSpan w:val="7"/>
            <w:tcBorders>
              <w:top w:val="single" w:sz="8" w:space="0" w:color="000000"/>
              <w:left w:val="single" w:sz="8" w:space="0" w:color="000000"/>
              <w:bottom w:val="single" w:sz="8" w:space="0" w:color="000000"/>
              <w:right w:val="single" w:sz="8" w:space="0" w:color="000000"/>
            </w:tcBorders>
            <w:shd w:val="clear" w:color="auto" w:fill="E36C09"/>
            <w:vAlign w:val="bottom"/>
          </w:tcPr>
          <w:p w:rsidR="005D0A28" w:rsidRDefault="00D87929">
            <w:pPr>
              <w:spacing w:after="0" w:line="240" w:lineRule="auto"/>
              <w:jc w:val="center"/>
              <w:rPr>
                <w:b/>
                <w:color w:val="FFFFFF"/>
                <w:sz w:val="28"/>
                <w:szCs w:val="28"/>
              </w:rPr>
            </w:pPr>
            <w:r>
              <w:rPr>
                <w:b/>
                <w:color w:val="FFFFFF"/>
                <w:sz w:val="28"/>
                <w:szCs w:val="28"/>
              </w:rPr>
              <w:t>COMPONENTE 4: MECANISMOS PARA LA TRANSPARENCIA Y ACCESO A LA INFORMACIÓN</w:t>
            </w:r>
          </w:p>
        </w:tc>
      </w:tr>
      <w:tr w:rsidR="005D0A28">
        <w:trPr>
          <w:trHeight w:val="896"/>
        </w:trPr>
        <w:tc>
          <w:tcPr>
            <w:tcW w:w="3315" w:type="dxa"/>
            <w:gridSpan w:val="2"/>
            <w:tcBorders>
              <w:top w:val="single" w:sz="8" w:space="0" w:color="000000"/>
              <w:left w:val="single" w:sz="8" w:space="0" w:color="000000"/>
              <w:bottom w:val="nil"/>
              <w:right w:val="single" w:sz="8" w:space="0" w:color="000000"/>
            </w:tcBorders>
            <w:shd w:val="clear" w:color="auto" w:fill="E36C09"/>
            <w:vAlign w:val="center"/>
          </w:tcPr>
          <w:p w:rsidR="005D0A28" w:rsidRDefault="00D87929">
            <w:pPr>
              <w:spacing w:after="0" w:line="240" w:lineRule="auto"/>
              <w:jc w:val="center"/>
              <w:rPr>
                <w:b/>
                <w:color w:val="FFFFFF"/>
                <w:sz w:val="28"/>
                <w:szCs w:val="28"/>
              </w:rPr>
            </w:pPr>
            <w:r>
              <w:rPr>
                <w:b/>
                <w:color w:val="FFFFFF"/>
                <w:sz w:val="28"/>
                <w:szCs w:val="28"/>
              </w:rPr>
              <w:t>SUBCOMPONENTE</w:t>
            </w:r>
          </w:p>
        </w:tc>
        <w:tc>
          <w:tcPr>
            <w:tcW w:w="5460" w:type="dxa"/>
            <w:gridSpan w:val="2"/>
            <w:tcBorders>
              <w:top w:val="single" w:sz="8" w:space="0" w:color="000000"/>
              <w:left w:val="nil"/>
              <w:bottom w:val="nil"/>
              <w:right w:val="single" w:sz="8" w:space="0" w:color="000000"/>
            </w:tcBorders>
            <w:shd w:val="clear" w:color="auto" w:fill="E36C09"/>
            <w:vAlign w:val="center"/>
          </w:tcPr>
          <w:p w:rsidR="005D0A28" w:rsidRDefault="00D87929">
            <w:pPr>
              <w:spacing w:after="0" w:line="240" w:lineRule="auto"/>
              <w:jc w:val="center"/>
              <w:rPr>
                <w:b/>
                <w:color w:val="FFFFFF"/>
                <w:sz w:val="28"/>
                <w:szCs w:val="28"/>
              </w:rPr>
            </w:pPr>
            <w:r>
              <w:rPr>
                <w:b/>
                <w:color w:val="FFFFFF"/>
                <w:sz w:val="28"/>
                <w:szCs w:val="28"/>
              </w:rPr>
              <w:t>ACTIVIDADES</w:t>
            </w:r>
          </w:p>
        </w:tc>
        <w:tc>
          <w:tcPr>
            <w:tcW w:w="2760" w:type="dxa"/>
            <w:tcBorders>
              <w:top w:val="nil"/>
              <w:left w:val="nil"/>
              <w:bottom w:val="nil"/>
              <w:right w:val="nil"/>
            </w:tcBorders>
            <w:shd w:val="clear" w:color="auto" w:fill="E36C09"/>
            <w:vAlign w:val="center"/>
          </w:tcPr>
          <w:p w:rsidR="005D0A28" w:rsidRDefault="00D87929">
            <w:pPr>
              <w:spacing w:after="0" w:line="240" w:lineRule="auto"/>
              <w:jc w:val="center"/>
              <w:rPr>
                <w:b/>
                <w:color w:val="FFFFFF"/>
                <w:sz w:val="28"/>
                <w:szCs w:val="28"/>
              </w:rPr>
            </w:pPr>
            <w:r>
              <w:rPr>
                <w:b/>
                <w:color w:val="FFFFFF"/>
                <w:sz w:val="28"/>
                <w:szCs w:val="28"/>
              </w:rPr>
              <w:t>META DEL PRODUCTO</w:t>
            </w:r>
          </w:p>
        </w:tc>
        <w:tc>
          <w:tcPr>
            <w:tcW w:w="3480" w:type="dxa"/>
            <w:tcBorders>
              <w:top w:val="nil"/>
              <w:left w:val="single" w:sz="8" w:space="0" w:color="000000"/>
              <w:bottom w:val="nil"/>
              <w:right w:val="single" w:sz="8" w:space="0" w:color="000000"/>
            </w:tcBorders>
            <w:shd w:val="clear" w:color="auto" w:fill="E36C09"/>
            <w:vAlign w:val="center"/>
          </w:tcPr>
          <w:p w:rsidR="005D0A28" w:rsidRDefault="00D87929">
            <w:pPr>
              <w:spacing w:after="0" w:line="240" w:lineRule="auto"/>
              <w:jc w:val="center"/>
              <w:rPr>
                <w:b/>
                <w:color w:val="FFFFFF"/>
                <w:sz w:val="28"/>
                <w:szCs w:val="28"/>
              </w:rPr>
            </w:pPr>
            <w:r>
              <w:rPr>
                <w:b/>
                <w:color w:val="FFFFFF"/>
                <w:sz w:val="28"/>
                <w:szCs w:val="28"/>
              </w:rPr>
              <w:t>RESPONSABLE</w:t>
            </w:r>
          </w:p>
        </w:tc>
        <w:tc>
          <w:tcPr>
            <w:tcW w:w="2625" w:type="dxa"/>
            <w:tcBorders>
              <w:top w:val="nil"/>
              <w:left w:val="nil"/>
              <w:bottom w:val="nil"/>
              <w:right w:val="single" w:sz="8" w:space="0" w:color="000000"/>
            </w:tcBorders>
            <w:shd w:val="clear" w:color="auto" w:fill="E36C0A"/>
            <w:vAlign w:val="center"/>
          </w:tcPr>
          <w:p w:rsidR="005D0A28" w:rsidRDefault="00D87929">
            <w:pPr>
              <w:spacing w:after="0" w:line="240" w:lineRule="auto"/>
              <w:jc w:val="center"/>
              <w:rPr>
                <w:b/>
                <w:color w:val="FFFFFF"/>
                <w:sz w:val="28"/>
                <w:szCs w:val="28"/>
              </w:rPr>
            </w:pPr>
            <w:r>
              <w:rPr>
                <w:b/>
                <w:color w:val="FFFFFF"/>
                <w:sz w:val="28"/>
                <w:szCs w:val="28"/>
              </w:rPr>
              <w:t>FECHA PROGRAMADA DE EJECUCIÓN</w:t>
            </w:r>
          </w:p>
        </w:tc>
      </w:tr>
      <w:tr w:rsidR="005D0A28">
        <w:trPr>
          <w:trHeight w:val="1708"/>
        </w:trPr>
        <w:tc>
          <w:tcPr>
            <w:tcW w:w="255" w:type="dxa"/>
            <w:vMerge w:val="restart"/>
            <w:tcBorders>
              <w:top w:val="single" w:sz="4" w:space="0" w:color="000000"/>
              <w:left w:val="single" w:sz="4" w:space="0" w:color="000000"/>
              <w:right w:val="single" w:sz="4" w:space="0" w:color="000000"/>
            </w:tcBorders>
            <w:shd w:val="clear" w:color="auto" w:fill="948A54"/>
            <w:vAlign w:val="center"/>
          </w:tcPr>
          <w:p w:rsidR="005D0A28" w:rsidRDefault="00D87929">
            <w:pPr>
              <w:spacing w:after="0" w:line="240" w:lineRule="auto"/>
              <w:jc w:val="center"/>
              <w:rPr>
                <w:b/>
                <w:color w:val="FFFFFF"/>
                <w:sz w:val="24"/>
                <w:szCs w:val="24"/>
              </w:rPr>
            </w:pPr>
            <w:r>
              <w:rPr>
                <w:b/>
                <w:color w:val="FFFFFF"/>
                <w:sz w:val="24"/>
                <w:szCs w:val="24"/>
              </w:rPr>
              <w:t>1</w:t>
            </w:r>
          </w:p>
        </w:tc>
        <w:tc>
          <w:tcPr>
            <w:tcW w:w="3060" w:type="dxa"/>
            <w:vMerge w:val="restart"/>
            <w:tcBorders>
              <w:top w:val="single" w:sz="4" w:space="0" w:color="000000"/>
              <w:left w:val="nil"/>
              <w:right w:val="single" w:sz="4" w:space="0" w:color="000000"/>
            </w:tcBorders>
            <w:shd w:val="clear" w:color="auto" w:fill="948A54"/>
            <w:vAlign w:val="center"/>
          </w:tcPr>
          <w:p w:rsidR="005D0A28" w:rsidRDefault="005D0A28">
            <w:pPr>
              <w:spacing w:after="0" w:line="240" w:lineRule="auto"/>
              <w:rPr>
                <w:b/>
                <w:color w:val="FFFFFF"/>
                <w:sz w:val="28"/>
                <w:szCs w:val="28"/>
              </w:rPr>
            </w:pPr>
          </w:p>
          <w:p w:rsidR="005D0A28" w:rsidRDefault="00D87929">
            <w:pPr>
              <w:spacing w:after="0" w:line="240" w:lineRule="auto"/>
              <w:rPr>
                <w:b/>
                <w:color w:val="FFFFFF"/>
                <w:sz w:val="28"/>
                <w:szCs w:val="28"/>
              </w:rPr>
            </w:pPr>
            <w:r>
              <w:rPr>
                <w:b/>
                <w:color w:val="FFFFFF"/>
                <w:sz w:val="28"/>
                <w:szCs w:val="28"/>
              </w:rPr>
              <w:t>Transparencia activa</w:t>
            </w:r>
          </w:p>
          <w:p w:rsidR="005D0A28" w:rsidRDefault="00D87929">
            <w:pPr>
              <w:spacing w:after="0" w:line="240" w:lineRule="auto"/>
              <w:rPr>
                <w:b/>
                <w:color w:val="FFFFFF"/>
                <w:sz w:val="28"/>
                <w:szCs w:val="28"/>
              </w:rPr>
            </w:pPr>
            <w:r>
              <w:rPr>
                <w:b/>
                <w:color w:val="FFFFFF"/>
                <w:sz w:val="28"/>
                <w:szCs w:val="28"/>
              </w:rPr>
              <w:t> </w:t>
            </w:r>
          </w:p>
        </w:tc>
        <w:tc>
          <w:tcPr>
            <w:tcW w:w="990"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jc w:val="center"/>
            </w:pPr>
            <w:r>
              <w:t>1.1</w:t>
            </w:r>
          </w:p>
        </w:tc>
        <w:tc>
          <w:tcPr>
            <w:tcW w:w="4470"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pPr>
            <w:r>
              <w:t>Capacitar a los se</w:t>
            </w:r>
            <w:r w:rsidR="00524B12">
              <w:t xml:space="preserve">rvidores públicos y contratistas </w:t>
            </w:r>
            <w:r>
              <w:t>en temas de Transparencia y Lucha contra la corrupción y conflictos de Intereses, Rendición de cuentas</w:t>
            </w:r>
            <w:r w:rsidR="00524B12">
              <w:t xml:space="preserve"> con el apoyo de Función Pública</w:t>
            </w:r>
            <w:r>
              <w:t>.</w:t>
            </w:r>
          </w:p>
          <w:p w:rsidR="00524B12" w:rsidRDefault="00524B12">
            <w:pPr>
              <w:spacing w:after="0" w:line="240" w:lineRule="auto"/>
            </w:pPr>
          </w:p>
          <w:p w:rsidR="00524B12" w:rsidRDefault="00524B12">
            <w:pPr>
              <w:spacing w:after="0" w:line="240" w:lineRule="auto"/>
            </w:pPr>
          </w:p>
        </w:tc>
        <w:tc>
          <w:tcPr>
            <w:tcW w:w="2760" w:type="dxa"/>
            <w:tcBorders>
              <w:top w:val="single" w:sz="4" w:space="0" w:color="000000"/>
              <w:left w:val="nil"/>
              <w:bottom w:val="single" w:sz="4" w:space="0" w:color="000000"/>
              <w:right w:val="single" w:sz="4" w:space="0" w:color="000000"/>
            </w:tcBorders>
            <w:shd w:val="clear" w:color="auto" w:fill="DBE5F1"/>
          </w:tcPr>
          <w:p w:rsidR="005D0A28" w:rsidRDefault="00524B12">
            <w:pPr>
              <w:spacing w:after="0" w:line="240" w:lineRule="auto"/>
            </w:pPr>
            <w:r>
              <w:t>Capacitaciones</w:t>
            </w:r>
            <w:r w:rsidR="00D87929">
              <w:t xml:space="preserve"> realizada</w:t>
            </w:r>
            <w:r>
              <w:t>s</w:t>
            </w:r>
          </w:p>
        </w:tc>
        <w:tc>
          <w:tcPr>
            <w:tcW w:w="3480"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pPr>
            <w:r>
              <w:t>Oficina de Talento Humano- Área de Capacitación</w:t>
            </w:r>
            <w:r w:rsidR="00524B12">
              <w:t xml:space="preserve"> y Oficina de Control Interno</w:t>
            </w:r>
          </w:p>
        </w:tc>
        <w:tc>
          <w:tcPr>
            <w:tcW w:w="2625"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jc w:val="right"/>
            </w:pPr>
            <w:r>
              <w:rPr>
                <w:color w:val="000000"/>
              </w:rPr>
              <w:t>Enero-diciembre de 202</w:t>
            </w:r>
            <w:r>
              <w:t>3</w:t>
            </w:r>
          </w:p>
        </w:tc>
      </w:tr>
      <w:tr w:rsidR="005D0A28">
        <w:trPr>
          <w:trHeight w:val="682"/>
        </w:trPr>
        <w:tc>
          <w:tcPr>
            <w:tcW w:w="255" w:type="dxa"/>
            <w:vMerge/>
            <w:tcBorders>
              <w:top w:val="single" w:sz="4" w:space="0" w:color="000000"/>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3060" w:type="dxa"/>
            <w:vMerge/>
            <w:tcBorders>
              <w:top w:val="single" w:sz="4" w:space="0" w:color="000000"/>
              <w:left w:val="nil"/>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990" w:type="dxa"/>
            <w:tcBorders>
              <w:top w:val="nil"/>
              <w:left w:val="nil"/>
              <w:bottom w:val="single" w:sz="4" w:space="0" w:color="000000"/>
              <w:right w:val="single" w:sz="4" w:space="0" w:color="000000"/>
            </w:tcBorders>
            <w:shd w:val="clear" w:color="auto" w:fill="DBE5F1"/>
          </w:tcPr>
          <w:p w:rsidR="005D0A28" w:rsidRDefault="005D0A28">
            <w:pPr>
              <w:spacing w:after="0" w:line="240" w:lineRule="auto"/>
              <w:jc w:val="center"/>
            </w:pPr>
          </w:p>
          <w:p w:rsidR="005D0A28" w:rsidRDefault="00D87929">
            <w:pPr>
              <w:spacing w:after="0" w:line="240" w:lineRule="auto"/>
              <w:jc w:val="center"/>
            </w:pPr>
            <w:r>
              <w:t>1.2</w:t>
            </w:r>
          </w:p>
        </w:tc>
        <w:tc>
          <w:tcPr>
            <w:tcW w:w="447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Verificación de contenidos que por ley debe tener la página web y el link de transparencia</w:t>
            </w:r>
          </w:p>
        </w:tc>
        <w:tc>
          <w:tcPr>
            <w:tcW w:w="276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Verificaciones de la página web y link de transparencia</w:t>
            </w:r>
          </w:p>
        </w:tc>
        <w:tc>
          <w:tcPr>
            <w:tcW w:w="348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Oficina de Control Interno</w:t>
            </w:r>
          </w:p>
        </w:tc>
        <w:tc>
          <w:tcPr>
            <w:tcW w:w="2625"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right"/>
            </w:pPr>
            <w:r>
              <w:t>Bimensual</w:t>
            </w:r>
          </w:p>
          <w:p w:rsidR="005D0A28" w:rsidRDefault="005D0A28">
            <w:pPr>
              <w:spacing w:after="0" w:line="240" w:lineRule="auto"/>
              <w:jc w:val="right"/>
            </w:pPr>
          </w:p>
        </w:tc>
      </w:tr>
      <w:tr w:rsidR="005D0A28">
        <w:trPr>
          <w:trHeight w:val="682"/>
        </w:trPr>
        <w:tc>
          <w:tcPr>
            <w:tcW w:w="255" w:type="dxa"/>
            <w:vMerge/>
            <w:tcBorders>
              <w:top w:val="single" w:sz="4" w:space="0" w:color="000000"/>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3060" w:type="dxa"/>
            <w:vMerge/>
            <w:tcBorders>
              <w:top w:val="single" w:sz="4" w:space="0" w:color="000000"/>
              <w:left w:val="nil"/>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990" w:type="dxa"/>
            <w:tcBorders>
              <w:top w:val="nil"/>
              <w:left w:val="nil"/>
              <w:bottom w:val="single" w:sz="4" w:space="0" w:color="000000"/>
              <w:right w:val="single" w:sz="4" w:space="0" w:color="000000"/>
            </w:tcBorders>
            <w:shd w:val="clear" w:color="auto" w:fill="DBE5F1"/>
          </w:tcPr>
          <w:p w:rsidR="005D0A28" w:rsidRDefault="005D0A28">
            <w:pPr>
              <w:spacing w:after="0" w:line="240" w:lineRule="auto"/>
              <w:jc w:val="center"/>
            </w:pPr>
          </w:p>
          <w:p w:rsidR="005D0A28" w:rsidRDefault="00D87929">
            <w:pPr>
              <w:spacing w:after="0" w:line="240" w:lineRule="auto"/>
              <w:jc w:val="center"/>
            </w:pPr>
            <w:r>
              <w:t>1.3</w:t>
            </w:r>
          </w:p>
        </w:tc>
        <w:tc>
          <w:tcPr>
            <w:tcW w:w="447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Requerimiento a las diferentes secretarías y oficinas sobre información a publicar y/o actualizar en la plataforma de datos abiertos.</w:t>
            </w:r>
          </w:p>
        </w:tc>
        <w:tc>
          <w:tcPr>
            <w:tcW w:w="276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Oficios enviados</w:t>
            </w:r>
          </w:p>
        </w:tc>
        <w:tc>
          <w:tcPr>
            <w:tcW w:w="348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Oficina de Tecnologías de la Información</w:t>
            </w:r>
          </w:p>
        </w:tc>
        <w:tc>
          <w:tcPr>
            <w:tcW w:w="2625"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right"/>
            </w:pPr>
            <w:r>
              <w:t>30 de junio de 2023</w:t>
            </w:r>
          </w:p>
        </w:tc>
      </w:tr>
      <w:tr w:rsidR="005D0A28">
        <w:trPr>
          <w:trHeight w:val="682"/>
        </w:trPr>
        <w:tc>
          <w:tcPr>
            <w:tcW w:w="255" w:type="dxa"/>
            <w:vMerge/>
            <w:tcBorders>
              <w:top w:val="single" w:sz="4" w:space="0" w:color="000000"/>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3060" w:type="dxa"/>
            <w:vMerge/>
            <w:tcBorders>
              <w:top w:val="single" w:sz="4" w:space="0" w:color="000000"/>
              <w:left w:val="nil"/>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990" w:type="dxa"/>
            <w:tcBorders>
              <w:top w:val="nil"/>
              <w:left w:val="nil"/>
              <w:bottom w:val="single" w:sz="4" w:space="0" w:color="000000"/>
              <w:right w:val="single" w:sz="4" w:space="0" w:color="000000"/>
            </w:tcBorders>
            <w:shd w:val="clear" w:color="auto" w:fill="DBE5F1"/>
          </w:tcPr>
          <w:p w:rsidR="005D0A28" w:rsidRDefault="005D0A28">
            <w:pPr>
              <w:spacing w:after="0" w:line="240" w:lineRule="auto"/>
              <w:jc w:val="center"/>
            </w:pPr>
          </w:p>
          <w:p w:rsidR="005D0A28" w:rsidRDefault="00D87929">
            <w:pPr>
              <w:spacing w:after="0" w:line="240" w:lineRule="auto"/>
              <w:jc w:val="center"/>
            </w:pPr>
            <w:r>
              <w:t>1.4</w:t>
            </w:r>
          </w:p>
        </w:tc>
        <w:tc>
          <w:tcPr>
            <w:tcW w:w="447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Validación y publicación en el portal de datos abiertos los conjuntos de datos estratégicos de la entidad.</w:t>
            </w:r>
          </w:p>
        </w:tc>
        <w:tc>
          <w:tcPr>
            <w:tcW w:w="276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Datos abiertos actualizados y publicados</w:t>
            </w:r>
          </w:p>
        </w:tc>
        <w:tc>
          <w:tcPr>
            <w:tcW w:w="348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Oficina de Tecnologías de la Información</w:t>
            </w:r>
          </w:p>
        </w:tc>
        <w:tc>
          <w:tcPr>
            <w:tcW w:w="2625"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right"/>
            </w:pPr>
            <w:r>
              <w:t>Enero-diciembre de 2023</w:t>
            </w:r>
          </w:p>
        </w:tc>
      </w:tr>
      <w:tr w:rsidR="005D0A28">
        <w:trPr>
          <w:trHeight w:val="715"/>
        </w:trPr>
        <w:tc>
          <w:tcPr>
            <w:tcW w:w="255" w:type="dxa"/>
            <w:tcBorders>
              <w:top w:val="single" w:sz="4" w:space="0" w:color="000000"/>
              <w:left w:val="single" w:sz="4" w:space="0" w:color="000000"/>
              <w:bottom w:val="single" w:sz="4" w:space="0" w:color="000000"/>
              <w:right w:val="single" w:sz="4" w:space="0" w:color="000000"/>
            </w:tcBorders>
            <w:shd w:val="clear" w:color="auto" w:fill="948A54"/>
            <w:vAlign w:val="center"/>
          </w:tcPr>
          <w:p w:rsidR="005D0A28" w:rsidRDefault="00D87929">
            <w:pPr>
              <w:spacing w:after="0" w:line="240" w:lineRule="auto"/>
              <w:jc w:val="center"/>
              <w:rPr>
                <w:b/>
                <w:color w:val="FFFFFF"/>
                <w:sz w:val="24"/>
                <w:szCs w:val="24"/>
              </w:rPr>
            </w:pPr>
            <w:r>
              <w:rPr>
                <w:b/>
                <w:color w:val="FFFFFF"/>
                <w:sz w:val="24"/>
                <w:szCs w:val="24"/>
              </w:rPr>
              <w:t>2</w:t>
            </w:r>
          </w:p>
        </w:tc>
        <w:tc>
          <w:tcPr>
            <w:tcW w:w="3060" w:type="dxa"/>
            <w:tcBorders>
              <w:top w:val="nil"/>
              <w:left w:val="nil"/>
              <w:right w:val="single" w:sz="4" w:space="0" w:color="000000"/>
            </w:tcBorders>
            <w:shd w:val="clear" w:color="auto" w:fill="948A54"/>
          </w:tcPr>
          <w:p w:rsidR="005D0A28" w:rsidRDefault="005D0A28">
            <w:pPr>
              <w:pBdr>
                <w:bottom w:val="single" w:sz="4" w:space="1" w:color="000000"/>
              </w:pBdr>
              <w:spacing w:after="0" w:line="240" w:lineRule="auto"/>
              <w:jc w:val="center"/>
              <w:rPr>
                <w:b/>
                <w:color w:val="FFFFFF"/>
                <w:sz w:val="28"/>
                <w:szCs w:val="28"/>
              </w:rPr>
            </w:pPr>
          </w:p>
          <w:p w:rsidR="005D0A28" w:rsidRDefault="00D87929">
            <w:pPr>
              <w:pBdr>
                <w:bottom w:val="single" w:sz="4" w:space="1" w:color="000000"/>
              </w:pBdr>
              <w:spacing w:after="0" w:line="240" w:lineRule="auto"/>
              <w:jc w:val="center"/>
              <w:rPr>
                <w:b/>
                <w:color w:val="FFFFFF"/>
                <w:sz w:val="28"/>
                <w:szCs w:val="28"/>
              </w:rPr>
            </w:pPr>
            <w:r>
              <w:rPr>
                <w:b/>
                <w:color w:val="FFFFFF"/>
                <w:sz w:val="28"/>
                <w:szCs w:val="28"/>
              </w:rPr>
              <w:t>Transparencia Pasiva</w:t>
            </w:r>
          </w:p>
        </w:tc>
        <w:tc>
          <w:tcPr>
            <w:tcW w:w="990" w:type="dxa"/>
            <w:tcBorders>
              <w:top w:val="nil"/>
              <w:left w:val="nil"/>
              <w:bottom w:val="single" w:sz="4" w:space="0" w:color="000000"/>
              <w:right w:val="single" w:sz="4" w:space="0" w:color="000000"/>
            </w:tcBorders>
            <w:shd w:val="clear" w:color="auto" w:fill="DBE5F1"/>
          </w:tcPr>
          <w:p w:rsidR="005D0A28" w:rsidRDefault="005D0A28">
            <w:pPr>
              <w:spacing w:after="0" w:line="240" w:lineRule="auto"/>
            </w:pPr>
          </w:p>
          <w:p w:rsidR="005D0A28" w:rsidRDefault="00D87929">
            <w:pPr>
              <w:spacing w:after="0" w:line="240" w:lineRule="auto"/>
              <w:jc w:val="center"/>
            </w:pPr>
            <w:r>
              <w:t>2.1</w:t>
            </w:r>
          </w:p>
        </w:tc>
        <w:tc>
          <w:tcPr>
            <w:tcW w:w="4470"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both"/>
            </w:pPr>
            <w:r>
              <w:t>Presentar informes de seguimiento a la gestión  de las PQRDS</w:t>
            </w:r>
          </w:p>
        </w:tc>
        <w:tc>
          <w:tcPr>
            <w:tcW w:w="2760"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both"/>
            </w:pPr>
            <w:r>
              <w:t>Informes  de gestión de PQRDS y atención al ciudadano presentados</w:t>
            </w:r>
          </w:p>
        </w:tc>
        <w:tc>
          <w:tcPr>
            <w:tcW w:w="3480"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both"/>
            </w:pPr>
            <w:r>
              <w:t>Secretaría General</w:t>
            </w:r>
          </w:p>
        </w:tc>
        <w:tc>
          <w:tcPr>
            <w:tcW w:w="2625"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right"/>
            </w:pPr>
            <w:r>
              <w:t>Mensualmente</w:t>
            </w:r>
          </w:p>
        </w:tc>
      </w:tr>
      <w:tr w:rsidR="005D0A28">
        <w:trPr>
          <w:trHeight w:val="615"/>
        </w:trPr>
        <w:tc>
          <w:tcPr>
            <w:tcW w:w="255" w:type="dxa"/>
            <w:vMerge w:val="restart"/>
            <w:tcBorders>
              <w:top w:val="single" w:sz="4" w:space="0" w:color="000000"/>
              <w:left w:val="single" w:sz="4" w:space="0" w:color="000000"/>
              <w:right w:val="single" w:sz="4" w:space="0" w:color="000000"/>
            </w:tcBorders>
            <w:shd w:val="clear" w:color="auto" w:fill="948A54"/>
            <w:vAlign w:val="center"/>
          </w:tcPr>
          <w:p w:rsidR="005D0A28" w:rsidRDefault="00D87929">
            <w:pPr>
              <w:spacing w:after="0" w:line="240" w:lineRule="auto"/>
              <w:jc w:val="center"/>
              <w:rPr>
                <w:b/>
                <w:color w:val="FFFFFF"/>
                <w:sz w:val="24"/>
                <w:szCs w:val="24"/>
              </w:rPr>
            </w:pPr>
            <w:r>
              <w:rPr>
                <w:b/>
                <w:color w:val="FFFFFF"/>
                <w:sz w:val="24"/>
                <w:szCs w:val="24"/>
              </w:rPr>
              <w:t>3</w:t>
            </w:r>
          </w:p>
        </w:tc>
        <w:tc>
          <w:tcPr>
            <w:tcW w:w="3060" w:type="dxa"/>
            <w:vMerge w:val="restart"/>
            <w:tcBorders>
              <w:top w:val="nil"/>
              <w:left w:val="single" w:sz="4" w:space="0" w:color="000000"/>
              <w:right w:val="single" w:sz="4" w:space="0" w:color="000000"/>
            </w:tcBorders>
            <w:shd w:val="clear" w:color="auto" w:fill="948A54"/>
            <w:vAlign w:val="center"/>
          </w:tcPr>
          <w:p w:rsidR="005D0A28" w:rsidRDefault="00D87929">
            <w:pPr>
              <w:spacing w:after="0" w:line="240" w:lineRule="auto"/>
              <w:jc w:val="center"/>
              <w:rPr>
                <w:b/>
                <w:color w:val="FFFFFF"/>
                <w:sz w:val="28"/>
                <w:szCs w:val="28"/>
              </w:rPr>
            </w:pPr>
            <w:r>
              <w:rPr>
                <w:b/>
                <w:color w:val="FFFFFF"/>
                <w:sz w:val="28"/>
                <w:szCs w:val="28"/>
              </w:rPr>
              <w:t xml:space="preserve">Elaboración de los </w:t>
            </w:r>
            <w:r>
              <w:rPr>
                <w:b/>
                <w:color w:val="FFFFFF"/>
                <w:sz w:val="28"/>
                <w:szCs w:val="28"/>
              </w:rPr>
              <w:lastRenderedPageBreak/>
              <w:t>instrumentos de gestión de la información</w:t>
            </w:r>
          </w:p>
        </w:tc>
        <w:tc>
          <w:tcPr>
            <w:tcW w:w="990" w:type="dxa"/>
            <w:tcBorders>
              <w:top w:val="nil"/>
              <w:left w:val="nil"/>
              <w:bottom w:val="single" w:sz="4" w:space="0" w:color="000000"/>
              <w:right w:val="single" w:sz="4" w:space="0" w:color="000000"/>
            </w:tcBorders>
            <w:shd w:val="clear" w:color="auto" w:fill="DBE5F1"/>
            <w:vAlign w:val="center"/>
          </w:tcPr>
          <w:p w:rsidR="005D0A28" w:rsidRDefault="00D87929">
            <w:pPr>
              <w:spacing w:after="0" w:line="240" w:lineRule="auto"/>
              <w:jc w:val="center"/>
            </w:pPr>
            <w:r>
              <w:lastRenderedPageBreak/>
              <w:t>3.1</w:t>
            </w:r>
          </w:p>
        </w:tc>
        <w:tc>
          <w:tcPr>
            <w:tcW w:w="447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Vinculación de técnicos y/o tecnólogos en archivo</w:t>
            </w:r>
          </w:p>
        </w:tc>
        <w:tc>
          <w:tcPr>
            <w:tcW w:w="2760" w:type="dxa"/>
            <w:tcBorders>
              <w:top w:val="nil"/>
              <w:left w:val="nil"/>
              <w:bottom w:val="single" w:sz="4" w:space="0" w:color="000000"/>
              <w:right w:val="single" w:sz="4" w:space="0" w:color="000000"/>
            </w:tcBorders>
            <w:shd w:val="clear" w:color="auto" w:fill="CFE2F3"/>
          </w:tcPr>
          <w:p w:rsidR="005D0A28" w:rsidRDefault="00D87929">
            <w:pPr>
              <w:spacing w:after="0" w:line="240" w:lineRule="auto"/>
            </w:pPr>
            <w:r>
              <w:t>Personal Contratado</w:t>
            </w:r>
          </w:p>
        </w:tc>
        <w:tc>
          <w:tcPr>
            <w:tcW w:w="3480" w:type="dxa"/>
            <w:tcBorders>
              <w:top w:val="nil"/>
              <w:left w:val="nil"/>
              <w:bottom w:val="single" w:sz="4" w:space="0" w:color="000000"/>
              <w:right w:val="single" w:sz="4" w:space="0" w:color="000000"/>
            </w:tcBorders>
            <w:shd w:val="clear" w:color="auto" w:fill="CFE2F3"/>
          </w:tcPr>
          <w:p w:rsidR="005D0A28" w:rsidRDefault="00D87929">
            <w:pPr>
              <w:spacing w:after="0" w:line="240" w:lineRule="auto"/>
            </w:pPr>
            <w:r>
              <w:t>Secretaría General-Oficina de Contratación</w:t>
            </w:r>
          </w:p>
        </w:tc>
        <w:tc>
          <w:tcPr>
            <w:tcW w:w="2625" w:type="dxa"/>
            <w:tcBorders>
              <w:top w:val="nil"/>
              <w:left w:val="nil"/>
              <w:bottom w:val="single" w:sz="4" w:space="0" w:color="000000"/>
              <w:right w:val="single" w:sz="4" w:space="0" w:color="000000"/>
            </w:tcBorders>
            <w:shd w:val="clear" w:color="auto" w:fill="CFE2F3"/>
          </w:tcPr>
          <w:p w:rsidR="005D0A28" w:rsidRDefault="00D87929">
            <w:pPr>
              <w:spacing w:after="0" w:line="240" w:lineRule="auto"/>
              <w:jc w:val="right"/>
            </w:pPr>
            <w:r>
              <w:rPr>
                <w:color w:val="000000"/>
              </w:rPr>
              <w:t>Enero-diciembre de 202</w:t>
            </w:r>
            <w:r>
              <w:t>3</w:t>
            </w:r>
          </w:p>
        </w:tc>
      </w:tr>
      <w:tr w:rsidR="005D0A28">
        <w:trPr>
          <w:trHeight w:val="685"/>
        </w:trPr>
        <w:tc>
          <w:tcPr>
            <w:tcW w:w="255" w:type="dxa"/>
            <w:vMerge/>
            <w:tcBorders>
              <w:top w:val="single" w:sz="4" w:space="0" w:color="000000"/>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3060" w:type="dxa"/>
            <w:vMerge/>
            <w:tcBorders>
              <w:top w:val="nil"/>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990" w:type="dxa"/>
            <w:tcBorders>
              <w:top w:val="nil"/>
              <w:left w:val="nil"/>
              <w:bottom w:val="single" w:sz="4" w:space="0" w:color="000000"/>
              <w:right w:val="single" w:sz="4" w:space="0" w:color="000000"/>
            </w:tcBorders>
            <w:shd w:val="clear" w:color="auto" w:fill="DBE5F1"/>
            <w:vAlign w:val="center"/>
          </w:tcPr>
          <w:p w:rsidR="005D0A28" w:rsidRDefault="00D87929">
            <w:pPr>
              <w:spacing w:after="0" w:line="240" w:lineRule="auto"/>
              <w:jc w:val="center"/>
            </w:pPr>
            <w:r>
              <w:t>3.2</w:t>
            </w:r>
          </w:p>
        </w:tc>
        <w:tc>
          <w:tcPr>
            <w:tcW w:w="447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Identificación y Cuantificación de los Fondos Documentales Acumulados en las dependencias</w:t>
            </w:r>
          </w:p>
        </w:tc>
        <w:tc>
          <w:tcPr>
            <w:tcW w:w="2760"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center"/>
            </w:pPr>
            <w:r>
              <w:t xml:space="preserve">Fondo Documentales Identificados </w:t>
            </w:r>
          </w:p>
        </w:tc>
        <w:tc>
          <w:tcPr>
            <w:tcW w:w="348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Secretaría General- Área de Gestión Documental</w:t>
            </w:r>
          </w:p>
        </w:tc>
        <w:tc>
          <w:tcPr>
            <w:tcW w:w="2625"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right"/>
            </w:pPr>
            <w:r>
              <w:t>Enero-diciembre de 2023</w:t>
            </w:r>
          </w:p>
        </w:tc>
      </w:tr>
      <w:tr w:rsidR="005D0A28">
        <w:trPr>
          <w:trHeight w:val="778"/>
        </w:trPr>
        <w:tc>
          <w:tcPr>
            <w:tcW w:w="255" w:type="dxa"/>
            <w:vMerge/>
            <w:tcBorders>
              <w:top w:val="single" w:sz="4" w:space="0" w:color="000000"/>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3060" w:type="dxa"/>
            <w:vMerge/>
            <w:tcBorders>
              <w:top w:val="nil"/>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99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D0A28" w:rsidRDefault="00D87929">
            <w:pPr>
              <w:spacing w:after="0" w:line="240" w:lineRule="auto"/>
              <w:jc w:val="center"/>
            </w:pPr>
            <w:r>
              <w:t>3.3</w:t>
            </w:r>
          </w:p>
        </w:tc>
        <w:tc>
          <w:tcPr>
            <w:tcW w:w="4470" w:type="dxa"/>
            <w:tcBorders>
              <w:top w:val="nil"/>
              <w:left w:val="single" w:sz="4" w:space="0" w:color="000000"/>
              <w:bottom w:val="single" w:sz="4" w:space="0" w:color="000000"/>
              <w:right w:val="single" w:sz="4" w:space="0" w:color="000000"/>
            </w:tcBorders>
            <w:shd w:val="clear" w:color="auto" w:fill="DBE5F1"/>
          </w:tcPr>
          <w:p w:rsidR="005D0A28" w:rsidRDefault="00D87929">
            <w:pPr>
              <w:spacing w:after="0" w:line="240" w:lineRule="auto"/>
            </w:pPr>
            <w:r>
              <w:t>Tramitar el proceso de convalidación de las Tablas de Valoración Documental -TVD para organizar el Fondo Documental Acumulado de la entidad.</w:t>
            </w:r>
          </w:p>
        </w:tc>
        <w:tc>
          <w:tcPr>
            <w:tcW w:w="2760"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center"/>
            </w:pPr>
            <w:r>
              <w:t>Proceso de convalidación tramitado</w:t>
            </w:r>
          </w:p>
        </w:tc>
        <w:tc>
          <w:tcPr>
            <w:tcW w:w="348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Secretaría General- Área de Gestión Documental</w:t>
            </w:r>
            <w:r>
              <w:br/>
            </w:r>
          </w:p>
        </w:tc>
        <w:tc>
          <w:tcPr>
            <w:tcW w:w="2625"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center"/>
            </w:pPr>
            <w:r>
              <w:t>Enero-diciembre de 2023</w:t>
            </w:r>
          </w:p>
        </w:tc>
      </w:tr>
      <w:tr w:rsidR="005D0A28">
        <w:trPr>
          <w:trHeight w:val="778"/>
        </w:trPr>
        <w:tc>
          <w:tcPr>
            <w:tcW w:w="255" w:type="dxa"/>
            <w:vMerge/>
            <w:tcBorders>
              <w:top w:val="single" w:sz="4" w:space="0" w:color="000000"/>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3060" w:type="dxa"/>
            <w:vMerge/>
            <w:tcBorders>
              <w:top w:val="nil"/>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pPr>
          </w:p>
        </w:tc>
        <w:tc>
          <w:tcPr>
            <w:tcW w:w="99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D0A28" w:rsidRDefault="00D87929">
            <w:pPr>
              <w:spacing w:after="0" w:line="240" w:lineRule="auto"/>
              <w:jc w:val="center"/>
            </w:pPr>
            <w:r>
              <w:t>3.4</w:t>
            </w:r>
          </w:p>
        </w:tc>
        <w:tc>
          <w:tcPr>
            <w:tcW w:w="4470" w:type="dxa"/>
            <w:tcBorders>
              <w:top w:val="nil"/>
              <w:left w:val="single" w:sz="4" w:space="0" w:color="000000"/>
              <w:bottom w:val="single" w:sz="4" w:space="0" w:color="000000"/>
              <w:right w:val="single" w:sz="4" w:space="0" w:color="000000"/>
            </w:tcBorders>
            <w:shd w:val="clear" w:color="auto" w:fill="DBE5F1"/>
          </w:tcPr>
          <w:p w:rsidR="005D0A28" w:rsidRDefault="00D87929">
            <w:pPr>
              <w:spacing w:after="0" w:line="240" w:lineRule="auto"/>
            </w:pPr>
            <w:r>
              <w:t>Incluir en el Sistema Integrado de Conservación, el plan de preservación digital a largo plazo.</w:t>
            </w:r>
          </w:p>
        </w:tc>
        <w:tc>
          <w:tcPr>
            <w:tcW w:w="276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Inclusión del Plan de Preservación en el SIC</w:t>
            </w:r>
          </w:p>
        </w:tc>
        <w:tc>
          <w:tcPr>
            <w:tcW w:w="348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Secretaría General- Área de Gestión Documental</w:t>
            </w:r>
          </w:p>
        </w:tc>
        <w:tc>
          <w:tcPr>
            <w:tcW w:w="2625"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center"/>
              <w:rPr>
                <w:color w:val="000000"/>
              </w:rPr>
            </w:pPr>
            <w:r>
              <w:t>Enero-diciembre de 2023</w:t>
            </w:r>
          </w:p>
        </w:tc>
      </w:tr>
      <w:tr w:rsidR="005D0A28">
        <w:trPr>
          <w:trHeight w:val="778"/>
        </w:trPr>
        <w:tc>
          <w:tcPr>
            <w:tcW w:w="255" w:type="dxa"/>
            <w:vMerge/>
            <w:tcBorders>
              <w:top w:val="single" w:sz="4" w:space="0" w:color="000000"/>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rPr>
                <w:color w:val="000000"/>
              </w:rPr>
            </w:pPr>
          </w:p>
        </w:tc>
        <w:tc>
          <w:tcPr>
            <w:tcW w:w="3060" w:type="dxa"/>
            <w:vMerge/>
            <w:tcBorders>
              <w:top w:val="nil"/>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rPr>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D0A28" w:rsidRDefault="00D87929">
            <w:pPr>
              <w:spacing w:after="0" w:line="240" w:lineRule="auto"/>
              <w:jc w:val="center"/>
            </w:pPr>
            <w:r>
              <w:t>3.5</w:t>
            </w:r>
          </w:p>
        </w:tc>
        <w:tc>
          <w:tcPr>
            <w:tcW w:w="4470" w:type="dxa"/>
            <w:tcBorders>
              <w:top w:val="nil"/>
              <w:left w:val="single" w:sz="4" w:space="0" w:color="000000"/>
              <w:bottom w:val="single" w:sz="4" w:space="0" w:color="000000"/>
              <w:right w:val="single" w:sz="4" w:space="0" w:color="000000"/>
            </w:tcBorders>
            <w:shd w:val="clear" w:color="auto" w:fill="DBE5F1"/>
          </w:tcPr>
          <w:p w:rsidR="005D0A28" w:rsidRDefault="00D87929">
            <w:pPr>
              <w:spacing w:after="0" w:line="240" w:lineRule="auto"/>
            </w:pPr>
            <w:r>
              <w:t>Realizar capacitación y sensibilización en el tema de conservación documental relacionada con los soportes físicos que maneja la entidad.</w:t>
            </w:r>
          </w:p>
        </w:tc>
        <w:tc>
          <w:tcPr>
            <w:tcW w:w="2760" w:type="dxa"/>
            <w:tcBorders>
              <w:top w:val="nil"/>
              <w:left w:val="nil"/>
              <w:bottom w:val="single" w:sz="4" w:space="0" w:color="000000"/>
              <w:right w:val="single" w:sz="4" w:space="0" w:color="000000"/>
            </w:tcBorders>
            <w:shd w:val="clear" w:color="auto" w:fill="DBE5F1"/>
          </w:tcPr>
          <w:p w:rsidR="005D0A28" w:rsidRDefault="00D87929">
            <w:pPr>
              <w:spacing w:after="0" w:line="240" w:lineRule="auto"/>
            </w:pPr>
            <w:r>
              <w:t>Talleres de capacitación realizados</w:t>
            </w:r>
          </w:p>
        </w:tc>
        <w:tc>
          <w:tcPr>
            <w:tcW w:w="3480" w:type="dxa"/>
            <w:tcBorders>
              <w:top w:val="nil"/>
              <w:left w:val="nil"/>
              <w:bottom w:val="single" w:sz="4" w:space="0" w:color="0000FF"/>
              <w:right w:val="single" w:sz="4" w:space="0" w:color="000000"/>
            </w:tcBorders>
            <w:shd w:val="clear" w:color="auto" w:fill="DBE5F1"/>
          </w:tcPr>
          <w:p w:rsidR="005D0A28" w:rsidRDefault="00D87929">
            <w:pPr>
              <w:spacing w:after="0" w:line="240" w:lineRule="auto"/>
            </w:pPr>
            <w:r>
              <w:t>Secretaría General- Área de Gestión Documental</w:t>
            </w:r>
          </w:p>
        </w:tc>
        <w:tc>
          <w:tcPr>
            <w:tcW w:w="2625" w:type="dxa"/>
            <w:tcBorders>
              <w:top w:val="nil"/>
              <w:left w:val="nil"/>
              <w:bottom w:val="single" w:sz="4" w:space="0" w:color="000000"/>
              <w:right w:val="single" w:sz="4" w:space="0" w:color="000000"/>
            </w:tcBorders>
            <w:shd w:val="clear" w:color="auto" w:fill="DBE5F1"/>
          </w:tcPr>
          <w:p w:rsidR="005D0A28" w:rsidRDefault="00D87929">
            <w:pPr>
              <w:spacing w:after="0" w:line="240" w:lineRule="auto"/>
              <w:jc w:val="center"/>
              <w:rPr>
                <w:color w:val="000000"/>
              </w:rPr>
            </w:pPr>
            <w:r>
              <w:t>Enero-diciembre de 2023</w:t>
            </w:r>
          </w:p>
        </w:tc>
      </w:tr>
      <w:tr w:rsidR="005D0A28">
        <w:trPr>
          <w:trHeight w:val="778"/>
        </w:trPr>
        <w:tc>
          <w:tcPr>
            <w:tcW w:w="255" w:type="dxa"/>
            <w:vMerge/>
            <w:tcBorders>
              <w:top w:val="single" w:sz="4" w:space="0" w:color="000000"/>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rPr>
                <w:color w:val="000000"/>
              </w:rPr>
            </w:pPr>
          </w:p>
        </w:tc>
        <w:tc>
          <w:tcPr>
            <w:tcW w:w="3060" w:type="dxa"/>
            <w:vMerge/>
            <w:tcBorders>
              <w:top w:val="nil"/>
              <w:left w:val="single" w:sz="4" w:space="0" w:color="000000"/>
              <w:right w:val="single" w:sz="4" w:space="0" w:color="000000"/>
            </w:tcBorders>
            <w:shd w:val="clear" w:color="auto" w:fill="948A54"/>
            <w:vAlign w:val="center"/>
          </w:tcPr>
          <w:p w:rsidR="005D0A28" w:rsidRDefault="005D0A28">
            <w:pPr>
              <w:widowControl w:val="0"/>
              <w:pBdr>
                <w:top w:val="nil"/>
                <w:left w:val="nil"/>
                <w:bottom w:val="nil"/>
                <w:right w:val="nil"/>
                <w:between w:val="nil"/>
              </w:pBdr>
              <w:spacing w:after="0"/>
              <w:rPr>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D0A28" w:rsidRDefault="00D87929">
            <w:pPr>
              <w:spacing w:after="0" w:line="240" w:lineRule="auto"/>
              <w:jc w:val="center"/>
            </w:pPr>
            <w:r>
              <w:t>3.6</w:t>
            </w:r>
          </w:p>
        </w:tc>
        <w:tc>
          <w:tcPr>
            <w:tcW w:w="4470" w:type="dxa"/>
            <w:tcBorders>
              <w:top w:val="nil"/>
              <w:left w:val="single" w:sz="4" w:space="0" w:color="000000"/>
              <w:bottom w:val="single" w:sz="4" w:space="0" w:color="000000"/>
              <w:right w:val="single" w:sz="4" w:space="0" w:color="000000"/>
            </w:tcBorders>
            <w:shd w:val="clear" w:color="auto" w:fill="DBE5F1"/>
          </w:tcPr>
          <w:p w:rsidR="005D0A28" w:rsidRDefault="00D87929">
            <w:pPr>
              <w:spacing w:after="0" w:line="240" w:lineRule="auto"/>
            </w:pPr>
            <w:r>
              <w:t>Definir el modelo de requisitos de gestión para los documentos electrónicos de la entidad.</w:t>
            </w:r>
          </w:p>
        </w:tc>
        <w:tc>
          <w:tcPr>
            <w:tcW w:w="2760" w:type="dxa"/>
            <w:tcBorders>
              <w:top w:val="nil"/>
              <w:left w:val="nil"/>
              <w:bottom w:val="single" w:sz="4" w:space="0" w:color="000000"/>
              <w:right w:val="single" w:sz="4" w:space="0" w:color="0000FF"/>
            </w:tcBorders>
            <w:shd w:val="clear" w:color="auto" w:fill="DBE5F1"/>
          </w:tcPr>
          <w:p w:rsidR="005D0A28" w:rsidRDefault="00D87929">
            <w:pPr>
              <w:spacing w:after="0" w:line="240" w:lineRule="auto"/>
            </w:pPr>
            <w:r>
              <w:t>Modelo de Requisitos de Gestión definido</w:t>
            </w:r>
          </w:p>
        </w:tc>
        <w:tc>
          <w:tcPr>
            <w:tcW w:w="3480" w:type="dxa"/>
            <w:tcBorders>
              <w:top w:val="single" w:sz="4" w:space="0" w:color="0000FF"/>
              <w:left w:val="single" w:sz="4" w:space="0" w:color="0000FF"/>
              <w:bottom w:val="single" w:sz="4" w:space="0" w:color="0000FF"/>
              <w:right w:val="single" w:sz="4" w:space="0" w:color="0000FF"/>
            </w:tcBorders>
            <w:shd w:val="clear" w:color="auto" w:fill="CFE2F3"/>
          </w:tcPr>
          <w:p w:rsidR="005D0A28" w:rsidRDefault="00D87929">
            <w:pPr>
              <w:spacing w:after="0" w:line="240" w:lineRule="auto"/>
            </w:pPr>
            <w:r>
              <w:t>Oficina de Tecnologías de la Información</w:t>
            </w:r>
          </w:p>
        </w:tc>
        <w:tc>
          <w:tcPr>
            <w:tcW w:w="2625" w:type="dxa"/>
            <w:tcBorders>
              <w:top w:val="nil"/>
              <w:left w:val="single" w:sz="4" w:space="0" w:color="0000FF"/>
              <w:bottom w:val="single" w:sz="4" w:space="0" w:color="000000"/>
              <w:right w:val="single" w:sz="4" w:space="0" w:color="000000"/>
            </w:tcBorders>
            <w:shd w:val="clear" w:color="auto" w:fill="DBE5F1"/>
          </w:tcPr>
          <w:p w:rsidR="005D0A28" w:rsidRDefault="00D87929">
            <w:pPr>
              <w:spacing w:after="0" w:line="240" w:lineRule="auto"/>
              <w:jc w:val="center"/>
              <w:rPr>
                <w:color w:val="000000"/>
              </w:rPr>
            </w:pPr>
            <w:r>
              <w:t>Enero-diciembre de 2023</w:t>
            </w:r>
          </w:p>
        </w:tc>
      </w:tr>
      <w:tr w:rsidR="005D0A28">
        <w:trPr>
          <w:trHeight w:val="1154"/>
        </w:trPr>
        <w:tc>
          <w:tcPr>
            <w:tcW w:w="255" w:type="dxa"/>
            <w:tcBorders>
              <w:top w:val="nil"/>
              <w:left w:val="single" w:sz="4" w:space="0" w:color="000000"/>
              <w:bottom w:val="nil"/>
              <w:right w:val="single" w:sz="4" w:space="0" w:color="000000"/>
            </w:tcBorders>
            <w:shd w:val="clear" w:color="auto" w:fill="948A54"/>
            <w:vAlign w:val="bottom"/>
          </w:tcPr>
          <w:p w:rsidR="005D0A28" w:rsidRDefault="00D87929">
            <w:pPr>
              <w:spacing w:after="0" w:line="240" w:lineRule="auto"/>
              <w:jc w:val="center"/>
              <w:rPr>
                <w:b/>
                <w:color w:val="FFFFFF"/>
              </w:rPr>
            </w:pPr>
            <w:r>
              <w:rPr>
                <w:b/>
                <w:color w:val="FFFFFF"/>
              </w:rPr>
              <w:t>4</w:t>
            </w:r>
          </w:p>
        </w:tc>
        <w:tc>
          <w:tcPr>
            <w:tcW w:w="3060" w:type="dxa"/>
            <w:vMerge w:val="restart"/>
            <w:tcBorders>
              <w:top w:val="nil"/>
              <w:left w:val="nil"/>
              <w:right w:val="single" w:sz="4" w:space="0" w:color="000000"/>
            </w:tcBorders>
            <w:shd w:val="clear" w:color="auto" w:fill="948A54"/>
            <w:vAlign w:val="bottom"/>
          </w:tcPr>
          <w:p w:rsidR="005D0A28" w:rsidRDefault="005D0A28">
            <w:pPr>
              <w:spacing w:after="0" w:line="240" w:lineRule="auto"/>
              <w:rPr>
                <w:b/>
                <w:color w:val="FFFFFF"/>
                <w:sz w:val="28"/>
                <w:szCs w:val="28"/>
              </w:rPr>
            </w:pPr>
          </w:p>
          <w:p w:rsidR="005D0A28" w:rsidRDefault="00D87929">
            <w:pPr>
              <w:spacing w:after="0" w:line="240" w:lineRule="auto"/>
              <w:rPr>
                <w:b/>
                <w:color w:val="FFFFFF"/>
                <w:sz w:val="28"/>
                <w:szCs w:val="28"/>
              </w:rPr>
            </w:pPr>
            <w:r>
              <w:rPr>
                <w:b/>
                <w:color w:val="FFFFFF"/>
                <w:sz w:val="28"/>
                <w:szCs w:val="28"/>
              </w:rPr>
              <w:t>Monitoreo del Acceso a la Información Pública</w:t>
            </w:r>
          </w:p>
          <w:p w:rsidR="005D0A28" w:rsidRDefault="005D0A28">
            <w:pPr>
              <w:spacing w:after="0" w:line="240" w:lineRule="auto"/>
              <w:rPr>
                <w:b/>
                <w:color w:val="FFFFFF"/>
              </w:rPr>
            </w:pPr>
          </w:p>
        </w:tc>
        <w:tc>
          <w:tcPr>
            <w:tcW w:w="990" w:type="dxa"/>
            <w:tcBorders>
              <w:top w:val="single" w:sz="4" w:space="0" w:color="000000"/>
              <w:left w:val="nil"/>
              <w:bottom w:val="single" w:sz="4" w:space="0" w:color="000000"/>
              <w:right w:val="single" w:sz="4" w:space="0" w:color="000000"/>
            </w:tcBorders>
            <w:shd w:val="clear" w:color="auto" w:fill="DBE5F1"/>
            <w:vAlign w:val="bottom"/>
          </w:tcPr>
          <w:p w:rsidR="005D0A28" w:rsidRDefault="00D87929">
            <w:pPr>
              <w:spacing w:after="0" w:line="240" w:lineRule="auto"/>
              <w:jc w:val="center"/>
            </w:pPr>
            <w:r>
              <w:t>4.1</w:t>
            </w:r>
          </w:p>
        </w:tc>
        <w:tc>
          <w:tcPr>
            <w:tcW w:w="4470"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pPr>
            <w:r>
              <w:t>Publicar la información solicitada por las dependencias, de acuerdo a las especificaciones (en tiempo y ubicación) en la página web, Link de Transparencia y Acceso a la Información Pública.</w:t>
            </w:r>
          </w:p>
        </w:tc>
        <w:tc>
          <w:tcPr>
            <w:tcW w:w="2760"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pPr>
            <w:r>
              <w:t>Información Publicada</w:t>
            </w:r>
          </w:p>
        </w:tc>
        <w:tc>
          <w:tcPr>
            <w:tcW w:w="3480" w:type="dxa"/>
            <w:tcBorders>
              <w:top w:val="single" w:sz="4" w:space="0" w:color="0000FF"/>
              <w:left w:val="nil"/>
              <w:bottom w:val="single" w:sz="4" w:space="0" w:color="000000"/>
              <w:right w:val="single" w:sz="4" w:space="0" w:color="000000"/>
            </w:tcBorders>
            <w:shd w:val="clear" w:color="auto" w:fill="CFE2F3"/>
          </w:tcPr>
          <w:p w:rsidR="005D0A28" w:rsidRDefault="00D87929">
            <w:pPr>
              <w:spacing w:after="0" w:line="240" w:lineRule="auto"/>
            </w:pPr>
            <w:r>
              <w:t>Líderes de Procesos (remisión de contenido), Oficina TIC (Publicación)</w:t>
            </w:r>
          </w:p>
        </w:tc>
        <w:tc>
          <w:tcPr>
            <w:tcW w:w="2625"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jc w:val="center"/>
            </w:pPr>
            <w:r>
              <w:t>Enero-diciembre de 2023</w:t>
            </w:r>
          </w:p>
        </w:tc>
      </w:tr>
      <w:tr w:rsidR="005D0A28">
        <w:trPr>
          <w:trHeight w:val="1193"/>
        </w:trPr>
        <w:tc>
          <w:tcPr>
            <w:tcW w:w="255" w:type="dxa"/>
            <w:tcBorders>
              <w:top w:val="nil"/>
              <w:left w:val="single" w:sz="4" w:space="0" w:color="000000"/>
              <w:bottom w:val="single" w:sz="4" w:space="0" w:color="000000"/>
              <w:right w:val="single" w:sz="4" w:space="0" w:color="000000"/>
            </w:tcBorders>
            <w:shd w:val="clear" w:color="auto" w:fill="948A54"/>
            <w:vAlign w:val="bottom"/>
          </w:tcPr>
          <w:p w:rsidR="005D0A28" w:rsidRDefault="005D0A28">
            <w:pPr>
              <w:spacing w:after="0" w:line="240" w:lineRule="auto"/>
              <w:jc w:val="center"/>
              <w:rPr>
                <w:b/>
                <w:color w:val="FFFFFF"/>
              </w:rPr>
            </w:pPr>
          </w:p>
        </w:tc>
        <w:tc>
          <w:tcPr>
            <w:tcW w:w="3060" w:type="dxa"/>
            <w:vMerge/>
            <w:tcBorders>
              <w:top w:val="nil"/>
              <w:left w:val="nil"/>
              <w:right w:val="single" w:sz="4" w:space="0" w:color="000000"/>
            </w:tcBorders>
            <w:shd w:val="clear" w:color="auto" w:fill="948A54"/>
            <w:vAlign w:val="bottom"/>
          </w:tcPr>
          <w:p w:rsidR="005D0A28" w:rsidRDefault="005D0A28">
            <w:pPr>
              <w:widowControl w:val="0"/>
              <w:pBdr>
                <w:top w:val="nil"/>
                <w:left w:val="nil"/>
                <w:bottom w:val="nil"/>
                <w:right w:val="nil"/>
                <w:between w:val="nil"/>
              </w:pBdr>
              <w:spacing w:after="0"/>
              <w:rPr>
                <w:b/>
                <w:color w:val="FFFFFF"/>
              </w:rPr>
            </w:pPr>
          </w:p>
        </w:tc>
        <w:tc>
          <w:tcPr>
            <w:tcW w:w="990" w:type="dxa"/>
            <w:tcBorders>
              <w:top w:val="single" w:sz="4" w:space="0" w:color="000000"/>
              <w:left w:val="nil"/>
              <w:bottom w:val="single" w:sz="4" w:space="0" w:color="000000"/>
              <w:right w:val="single" w:sz="4" w:space="0" w:color="000000"/>
            </w:tcBorders>
            <w:shd w:val="clear" w:color="auto" w:fill="DBE5F1"/>
            <w:vAlign w:val="bottom"/>
          </w:tcPr>
          <w:p w:rsidR="005D0A28" w:rsidRDefault="00D87929">
            <w:pPr>
              <w:spacing w:after="0" w:line="240" w:lineRule="auto"/>
              <w:jc w:val="center"/>
            </w:pPr>
            <w:r>
              <w:t>4.2</w:t>
            </w:r>
          </w:p>
        </w:tc>
        <w:tc>
          <w:tcPr>
            <w:tcW w:w="4470"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pPr>
            <w:r>
              <w:t xml:space="preserve">Verificar de manera permanente que la información que la página web de la gobernación cumpla con los criterios dispuestos en la ley de transparencia y normas concordantes. </w:t>
            </w:r>
          </w:p>
        </w:tc>
        <w:tc>
          <w:tcPr>
            <w:tcW w:w="2760"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pPr>
            <w:r>
              <w:t>Chequeo de la página y link de transparencia realizados</w:t>
            </w:r>
          </w:p>
        </w:tc>
        <w:tc>
          <w:tcPr>
            <w:tcW w:w="3480"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pPr>
            <w:r>
              <w:t>Oficina TIC, Oficina de Control Interno, Líder de Transparencia</w:t>
            </w:r>
          </w:p>
        </w:tc>
        <w:tc>
          <w:tcPr>
            <w:tcW w:w="2625" w:type="dxa"/>
            <w:tcBorders>
              <w:top w:val="single" w:sz="4" w:space="0" w:color="000000"/>
              <w:left w:val="nil"/>
              <w:bottom w:val="single" w:sz="4" w:space="0" w:color="000000"/>
              <w:right w:val="single" w:sz="4" w:space="0" w:color="000000"/>
            </w:tcBorders>
            <w:shd w:val="clear" w:color="auto" w:fill="DBE5F1"/>
          </w:tcPr>
          <w:p w:rsidR="005D0A28" w:rsidRDefault="00D87929">
            <w:pPr>
              <w:spacing w:after="0" w:line="240" w:lineRule="auto"/>
              <w:jc w:val="center"/>
            </w:pPr>
            <w:r>
              <w:t>Bimensualmente</w:t>
            </w:r>
          </w:p>
          <w:p w:rsidR="005D0A28" w:rsidRDefault="005D0A28">
            <w:pPr>
              <w:spacing w:after="0" w:line="240" w:lineRule="auto"/>
              <w:jc w:val="center"/>
            </w:pPr>
          </w:p>
        </w:tc>
      </w:tr>
    </w:tbl>
    <w:p w:rsidR="005D0A28" w:rsidRDefault="005D0A28"/>
    <w:p w:rsidR="005D0A28" w:rsidRDefault="005D0A28"/>
    <w:p w:rsidR="005D0A28" w:rsidRDefault="005D0A28"/>
    <w:tbl>
      <w:tblPr>
        <w:tblStyle w:val="ae"/>
        <w:tblW w:w="17520" w:type="dxa"/>
        <w:tblInd w:w="5" w:type="dxa"/>
        <w:tblLayout w:type="fixed"/>
        <w:tblLook w:val="0400" w:firstRow="0" w:lastRow="0" w:firstColumn="0" w:lastColumn="0" w:noHBand="0" w:noVBand="1"/>
      </w:tblPr>
      <w:tblGrid>
        <w:gridCol w:w="510"/>
        <w:gridCol w:w="2955"/>
        <w:gridCol w:w="510"/>
        <w:gridCol w:w="5925"/>
        <w:gridCol w:w="3435"/>
        <w:gridCol w:w="1755"/>
        <w:gridCol w:w="2430"/>
      </w:tblGrid>
      <w:tr w:rsidR="005D0A28">
        <w:trPr>
          <w:trHeight w:val="450"/>
        </w:trPr>
        <w:tc>
          <w:tcPr>
            <w:tcW w:w="17520" w:type="dxa"/>
            <w:gridSpan w:val="7"/>
            <w:tcBorders>
              <w:top w:val="single" w:sz="8" w:space="0" w:color="000000"/>
              <w:left w:val="single" w:sz="8" w:space="0" w:color="000000"/>
              <w:bottom w:val="single" w:sz="8" w:space="0" w:color="000000"/>
              <w:right w:val="single" w:sz="8" w:space="0" w:color="000000"/>
            </w:tcBorders>
            <w:shd w:val="clear" w:color="auto" w:fill="E36C09"/>
            <w:tcMar>
              <w:top w:w="0" w:type="dxa"/>
              <w:left w:w="70" w:type="dxa"/>
              <w:bottom w:w="0" w:type="dxa"/>
              <w:right w:w="70" w:type="dxa"/>
            </w:tcMar>
            <w:vAlign w:val="bottom"/>
          </w:tcPr>
          <w:p w:rsidR="005D0A28" w:rsidRDefault="00D87929">
            <w:pPr>
              <w:spacing w:after="0" w:line="240" w:lineRule="auto"/>
              <w:jc w:val="center"/>
              <w:rPr>
                <w:rFonts w:ascii="Times New Roman" w:eastAsia="Times New Roman" w:hAnsi="Times New Roman" w:cs="Times New Roman"/>
                <w:color w:val="FFFFFF"/>
                <w:sz w:val="28"/>
                <w:szCs w:val="28"/>
              </w:rPr>
            </w:pPr>
            <w:r>
              <w:rPr>
                <w:b/>
                <w:color w:val="FFFFFF"/>
                <w:sz w:val="28"/>
                <w:szCs w:val="28"/>
              </w:rPr>
              <w:t>COMPONENTE 5: SERVICIO AL CIUDADANO</w:t>
            </w:r>
          </w:p>
        </w:tc>
      </w:tr>
      <w:tr w:rsidR="005D0A28">
        <w:trPr>
          <w:trHeight w:val="857"/>
        </w:trPr>
        <w:tc>
          <w:tcPr>
            <w:tcW w:w="3465" w:type="dxa"/>
            <w:gridSpan w:val="2"/>
            <w:tcBorders>
              <w:top w:val="single" w:sz="8" w:space="0" w:color="000000"/>
              <w:left w:val="single" w:sz="8" w:space="0" w:color="000000"/>
              <w:bottom w:val="nil"/>
              <w:right w:val="single" w:sz="8" w:space="0" w:color="000000"/>
            </w:tcBorders>
            <w:shd w:val="clear" w:color="auto" w:fill="E36C09"/>
            <w:vAlign w:val="center"/>
          </w:tcPr>
          <w:p w:rsidR="005D0A28" w:rsidRDefault="00D87929">
            <w:pPr>
              <w:spacing w:after="0" w:line="240" w:lineRule="auto"/>
              <w:jc w:val="center"/>
              <w:rPr>
                <w:b/>
                <w:color w:val="FFFFFF"/>
                <w:sz w:val="28"/>
                <w:szCs w:val="28"/>
              </w:rPr>
            </w:pPr>
            <w:r>
              <w:rPr>
                <w:b/>
                <w:color w:val="FFFFFF"/>
                <w:sz w:val="28"/>
                <w:szCs w:val="28"/>
              </w:rPr>
              <w:t>SUBCOMPONENTE</w:t>
            </w:r>
          </w:p>
        </w:tc>
        <w:tc>
          <w:tcPr>
            <w:tcW w:w="6435" w:type="dxa"/>
            <w:gridSpan w:val="2"/>
            <w:tcBorders>
              <w:top w:val="single" w:sz="8" w:space="0" w:color="000000"/>
              <w:left w:val="nil"/>
              <w:bottom w:val="nil"/>
              <w:right w:val="single" w:sz="8" w:space="0" w:color="000000"/>
            </w:tcBorders>
            <w:shd w:val="clear" w:color="auto" w:fill="E36C09"/>
            <w:vAlign w:val="center"/>
          </w:tcPr>
          <w:p w:rsidR="005D0A28" w:rsidRDefault="00D87929">
            <w:pPr>
              <w:spacing w:after="0" w:line="240" w:lineRule="auto"/>
              <w:jc w:val="center"/>
              <w:rPr>
                <w:b/>
                <w:color w:val="FFFFFF"/>
                <w:sz w:val="28"/>
                <w:szCs w:val="28"/>
              </w:rPr>
            </w:pPr>
            <w:r>
              <w:rPr>
                <w:b/>
                <w:color w:val="FFFFFF"/>
                <w:sz w:val="28"/>
                <w:szCs w:val="28"/>
              </w:rPr>
              <w:t>ACTIVIDADES</w:t>
            </w:r>
          </w:p>
        </w:tc>
        <w:tc>
          <w:tcPr>
            <w:tcW w:w="3435" w:type="dxa"/>
            <w:tcBorders>
              <w:top w:val="nil"/>
              <w:left w:val="nil"/>
              <w:bottom w:val="nil"/>
              <w:right w:val="nil"/>
            </w:tcBorders>
            <w:shd w:val="clear" w:color="auto" w:fill="E36C09"/>
            <w:vAlign w:val="center"/>
          </w:tcPr>
          <w:p w:rsidR="005D0A28" w:rsidRDefault="00D87929">
            <w:pPr>
              <w:spacing w:after="0" w:line="240" w:lineRule="auto"/>
              <w:jc w:val="center"/>
              <w:rPr>
                <w:b/>
                <w:color w:val="FFFFFF"/>
                <w:sz w:val="28"/>
                <w:szCs w:val="28"/>
              </w:rPr>
            </w:pPr>
            <w:r>
              <w:rPr>
                <w:b/>
                <w:color w:val="FFFFFF"/>
                <w:sz w:val="28"/>
                <w:szCs w:val="28"/>
              </w:rPr>
              <w:t>META DEL PRODUCTO</w:t>
            </w:r>
          </w:p>
        </w:tc>
        <w:tc>
          <w:tcPr>
            <w:tcW w:w="1755" w:type="dxa"/>
            <w:tcBorders>
              <w:top w:val="nil"/>
              <w:left w:val="single" w:sz="8" w:space="0" w:color="000000"/>
              <w:bottom w:val="nil"/>
              <w:right w:val="single" w:sz="8" w:space="0" w:color="000000"/>
            </w:tcBorders>
            <w:shd w:val="clear" w:color="auto" w:fill="E36C09"/>
            <w:vAlign w:val="center"/>
          </w:tcPr>
          <w:p w:rsidR="005D0A28" w:rsidRDefault="00D87929">
            <w:pPr>
              <w:spacing w:after="0" w:line="240" w:lineRule="auto"/>
              <w:jc w:val="center"/>
              <w:rPr>
                <w:b/>
                <w:color w:val="FFFFFF"/>
                <w:sz w:val="28"/>
                <w:szCs w:val="28"/>
              </w:rPr>
            </w:pPr>
            <w:r>
              <w:rPr>
                <w:b/>
                <w:color w:val="FFFFFF"/>
                <w:sz w:val="28"/>
                <w:szCs w:val="28"/>
              </w:rPr>
              <w:t>RESPONSABLE</w:t>
            </w:r>
          </w:p>
        </w:tc>
        <w:tc>
          <w:tcPr>
            <w:tcW w:w="2430" w:type="dxa"/>
            <w:tcBorders>
              <w:top w:val="nil"/>
              <w:left w:val="nil"/>
              <w:bottom w:val="nil"/>
              <w:right w:val="single" w:sz="8" w:space="0" w:color="000000"/>
            </w:tcBorders>
            <w:shd w:val="clear" w:color="auto" w:fill="E36C0A"/>
            <w:vAlign w:val="center"/>
          </w:tcPr>
          <w:p w:rsidR="005D0A28" w:rsidRDefault="00D87929">
            <w:pPr>
              <w:spacing w:after="0" w:line="240" w:lineRule="auto"/>
              <w:jc w:val="center"/>
              <w:rPr>
                <w:b/>
                <w:color w:val="FFFFFF"/>
                <w:sz w:val="28"/>
                <w:szCs w:val="28"/>
              </w:rPr>
            </w:pPr>
            <w:r>
              <w:rPr>
                <w:b/>
                <w:color w:val="FFFFFF"/>
                <w:sz w:val="28"/>
                <w:szCs w:val="28"/>
              </w:rPr>
              <w:t>FECHA PROGRAMADA DE EJECUCIÓN</w:t>
            </w:r>
          </w:p>
        </w:tc>
      </w:tr>
      <w:tr w:rsidR="005D0A28">
        <w:trPr>
          <w:trHeight w:val="393"/>
        </w:trPr>
        <w:tc>
          <w:tcPr>
            <w:tcW w:w="510" w:type="dxa"/>
            <w:vMerge w:val="restart"/>
            <w:tcBorders>
              <w:top w:val="single" w:sz="5" w:space="0" w:color="000000"/>
              <w:left w:val="single" w:sz="5" w:space="0" w:color="000000"/>
              <w:bottom w:val="single" w:sz="5" w:space="0" w:color="000000"/>
              <w:right w:val="single" w:sz="5" w:space="0" w:color="000000"/>
            </w:tcBorders>
            <w:shd w:val="clear" w:color="auto" w:fill="948A54"/>
            <w:tcMar>
              <w:top w:w="100" w:type="dxa"/>
              <w:left w:w="80" w:type="dxa"/>
              <w:bottom w:w="100" w:type="dxa"/>
              <w:right w:w="80" w:type="dxa"/>
            </w:tcMar>
          </w:tcPr>
          <w:p w:rsidR="005D0A28" w:rsidRDefault="00D87929">
            <w:pPr>
              <w:spacing w:before="240" w:after="0"/>
              <w:ind w:left="-60"/>
              <w:jc w:val="both"/>
              <w:rPr>
                <w:b/>
                <w:color w:val="FFFFFF"/>
                <w:sz w:val="28"/>
                <w:szCs w:val="28"/>
              </w:rPr>
            </w:pPr>
            <w:r>
              <w:rPr>
                <w:b/>
                <w:color w:val="FFFFFF"/>
                <w:sz w:val="28"/>
                <w:szCs w:val="28"/>
              </w:rPr>
              <w:t>1</w:t>
            </w:r>
          </w:p>
        </w:tc>
        <w:tc>
          <w:tcPr>
            <w:tcW w:w="2955" w:type="dxa"/>
            <w:vMerge w:val="restart"/>
            <w:tcBorders>
              <w:top w:val="single" w:sz="5" w:space="0" w:color="000000"/>
              <w:left w:val="nil"/>
              <w:bottom w:val="single" w:sz="5" w:space="0" w:color="000000"/>
              <w:right w:val="single" w:sz="5" w:space="0" w:color="000000"/>
            </w:tcBorders>
            <w:shd w:val="clear" w:color="auto" w:fill="948A54"/>
            <w:tcMar>
              <w:top w:w="100" w:type="dxa"/>
              <w:left w:w="80" w:type="dxa"/>
              <w:bottom w:w="100" w:type="dxa"/>
              <w:right w:w="80" w:type="dxa"/>
            </w:tcMar>
          </w:tcPr>
          <w:p w:rsidR="005D0A28" w:rsidRDefault="00D87929">
            <w:pPr>
              <w:spacing w:before="240" w:after="0"/>
              <w:ind w:left="-60"/>
              <w:jc w:val="both"/>
              <w:rPr>
                <w:b/>
                <w:color w:val="FFFFFF"/>
                <w:sz w:val="28"/>
                <w:szCs w:val="28"/>
              </w:rPr>
            </w:pPr>
            <w:r>
              <w:rPr>
                <w:b/>
                <w:color w:val="FFFFFF"/>
                <w:sz w:val="28"/>
                <w:szCs w:val="28"/>
              </w:rPr>
              <w:t>Estructura Administrativa y Dirección Estratégica</w:t>
            </w:r>
          </w:p>
        </w:tc>
        <w:tc>
          <w:tcPr>
            <w:tcW w:w="510" w:type="dxa"/>
            <w:vMerge w:val="restart"/>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1.1</w:t>
            </w:r>
          </w:p>
        </w:tc>
        <w:tc>
          <w:tcPr>
            <w:tcW w:w="5925" w:type="dxa"/>
            <w:vMerge w:val="restart"/>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En el marco del programa de modernización de la estructura organizacional adelantar las acciones necesarias para materializar lo establecido en el artículo 17 de la Ley 2052 de 2020.</w:t>
            </w:r>
          </w:p>
        </w:tc>
        <w:tc>
          <w:tcPr>
            <w:tcW w:w="3435" w:type="dxa"/>
            <w:vMerge w:val="restart"/>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Estructura Orgánica con la Oficina de Servicio al ciudadano localizada al tenor de la Ley.</w:t>
            </w:r>
          </w:p>
        </w:tc>
        <w:tc>
          <w:tcPr>
            <w:tcW w:w="1755" w:type="dxa"/>
            <w:vMerge w:val="restart"/>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Despacho del Gobernador y Secretaría General</w:t>
            </w:r>
          </w:p>
        </w:tc>
        <w:tc>
          <w:tcPr>
            <w:tcW w:w="2430" w:type="dxa"/>
            <w:vMerge w:val="restart"/>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right"/>
            </w:pPr>
            <w:r>
              <w:t>31/12/2023</w:t>
            </w:r>
          </w:p>
        </w:tc>
      </w:tr>
      <w:tr w:rsidR="005D0A28">
        <w:trPr>
          <w:trHeight w:val="370"/>
        </w:trPr>
        <w:tc>
          <w:tcPr>
            <w:tcW w:w="51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295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51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592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343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175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243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r>
      <w:tr w:rsidR="005D0A28">
        <w:trPr>
          <w:trHeight w:val="370"/>
        </w:trPr>
        <w:tc>
          <w:tcPr>
            <w:tcW w:w="51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295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51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592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343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175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243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r>
      <w:tr w:rsidR="005D0A28">
        <w:trPr>
          <w:trHeight w:val="370"/>
        </w:trPr>
        <w:tc>
          <w:tcPr>
            <w:tcW w:w="51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295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51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592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343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175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243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r>
      <w:tr w:rsidR="005D0A28" w:rsidTr="00782DBB">
        <w:trPr>
          <w:trHeight w:val="309"/>
        </w:trPr>
        <w:tc>
          <w:tcPr>
            <w:tcW w:w="51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295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51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592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343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1755"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c>
          <w:tcPr>
            <w:tcW w:w="2430" w:type="dxa"/>
            <w:vMerge/>
            <w:tcBorders>
              <w:bottom w:val="single" w:sz="5" w:space="0" w:color="000000"/>
              <w:right w:val="single" w:sz="5" w:space="0" w:color="000000"/>
            </w:tcBorders>
            <w:shd w:val="clear" w:color="auto" w:fill="auto"/>
            <w:tcMar>
              <w:top w:w="100" w:type="dxa"/>
              <w:left w:w="100" w:type="dxa"/>
              <w:bottom w:w="100" w:type="dxa"/>
              <w:right w:w="100" w:type="dxa"/>
            </w:tcMar>
          </w:tcPr>
          <w:p w:rsidR="005D0A28" w:rsidRDefault="005D0A28">
            <w:pPr>
              <w:widowControl w:val="0"/>
              <w:pBdr>
                <w:top w:val="nil"/>
                <w:left w:val="nil"/>
                <w:bottom w:val="nil"/>
                <w:right w:val="nil"/>
                <w:between w:val="nil"/>
              </w:pBdr>
              <w:spacing w:after="0"/>
            </w:pPr>
          </w:p>
        </w:tc>
      </w:tr>
      <w:tr w:rsidR="005D0A28">
        <w:trPr>
          <w:trHeight w:val="863"/>
        </w:trPr>
        <w:tc>
          <w:tcPr>
            <w:tcW w:w="510" w:type="dxa"/>
            <w:tcBorders>
              <w:top w:val="nil"/>
              <w:left w:val="single" w:sz="5" w:space="0" w:color="000000"/>
              <w:bottom w:val="nil"/>
              <w:right w:val="single" w:sz="5" w:space="0" w:color="000000"/>
            </w:tcBorders>
            <w:shd w:val="clear" w:color="auto" w:fill="948A54"/>
            <w:tcMar>
              <w:top w:w="100" w:type="dxa"/>
              <w:left w:w="80" w:type="dxa"/>
              <w:bottom w:w="100" w:type="dxa"/>
              <w:right w:w="80" w:type="dxa"/>
            </w:tcMar>
          </w:tcPr>
          <w:p w:rsidR="005D0A28" w:rsidRDefault="00D87929">
            <w:pPr>
              <w:spacing w:before="240" w:after="0"/>
              <w:ind w:left="-60"/>
              <w:jc w:val="both"/>
              <w:rPr>
                <w:b/>
                <w:color w:val="FFFFFF"/>
                <w:sz w:val="28"/>
                <w:szCs w:val="28"/>
              </w:rPr>
            </w:pPr>
            <w:r>
              <w:rPr>
                <w:b/>
                <w:color w:val="FFFFFF"/>
                <w:sz w:val="28"/>
                <w:szCs w:val="28"/>
              </w:rPr>
              <w:t>2</w:t>
            </w:r>
          </w:p>
        </w:tc>
        <w:tc>
          <w:tcPr>
            <w:tcW w:w="2955" w:type="dxa"/>
            <w:tcBorders>
              <w:top w:val="nil"/>
              <w:left w:val="nil"/>
              <w:bottom w:val="nil"/>
              <w:right w:val="single" w:sz="5" w:space="0" w:color="000000"/>
            </w:tcBorders>
            <w:shd w:val="clear" w:color="auto" w:fill="948A54"/>
            <w:tcMar>
              <w:top w:w="100" w:type="dxa"/>
              <w:left w:w="80" w:type="dxa"/>
              <w:bottom w:w="100" w:type="dxa"/>
              <w:right w:w="80" w:type="dxa"/>
            </w:tcMar>
          </w:tcPr>
          <w:p w:rsidR="005D0A28" w:rsidRDefault="00D87929">
            <w:pPr>
              <w:spacing w:before="240" w:after="0"/>
              <w:ind w:left="-60"/>
              <w:jc w:val="both"/>
              <w:rPr>
                <w:b/>
                <w:color w:val="FFFFFF"/>
                <w:sz w:val="28"/>
                <w:szCs w:val="28"/>
              </w:rPr>
            </w:pPr>
            <w:r>
              <w:rPr>
                <w:b/>
                <w:color w:val="FFFFFF"/>
                <w:sz w:val="28"/>
                <w:szCs w:val="28"/>
              </w:rPr>
              <w:t>Fortalecimiento de Los Canales de Atención</w:t>
            </w:r>
          </w:p>
        </w:tc>
        <w:tc>
          <w:tcPr>
            <w:tcW w:w="51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2.1</w:t>
            </w:r>
          </w:p>
        </w:tc>
        <w:tc>
          <w:tcPr>
            <w:tcW w:w="592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Habilitar la socialización de los deberes y derechos del ciudadano en las páginas web de la gobernación y la puesta en marcha de herramientas tecnológicas para atender las PQRSD y Solicitudes a través de esta canal de atención</w:t>
            </w:r>
          </w:p>
        </w:tc>
        <w:tc>
          <w:tcPr>
            <w:tcW w:w="343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Página web en funcionamiento ajustada a las exigencias de la NTC 5854 y la resolución 1519 de 2020</w:t>
            </w:r>
          </w:p>
        </w:tc>
        <w:tc>
          <w:tcPr>
            <w:tcW w:w="175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 xml:space="preserve">Secretaría General /Sistemas </w:t>
            </w:r>
          </w:p>
          <w:p w:rsidR="005D0A28" w:rsidRDefault="00782DBB">
            <w:pPr>
              <w:spacing w:before="240" w:after="0"/>
              <w:ind w:left="-60"/>
              <w:jc w:val="both"/>
            </w:pPr>
            <w:r>
              <w:t>Oficina de</w:t>
            </w:r>
            <w:r w:rsidR="00D87929">
              <w:t xml:space="preserve"> TIC</w:t>
            </w:r>
          </w:p>
        </w:tc>
        <w:tc>
          <w:tcPr>
            <w:tcW w:w="243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right"/>
            </w:pPr>
            <w:r>
              <w:t>31/12/2023</w:t>
            </w:r>
          </w:p>
        </w:tc>
      </w:tr>
      <w:tr w:rsidR="00782DBB" w:rsidTr="004C7CF1">
        <w:trPr>
          <w:trHeight w:val="1066"/>
        </w:trPr>
        <w:tc>
          <w:tcPr>
            <w:tcW w:w="510" w:type="dxa"/>
            <w:vMerge w:val="restart"/>
            <w:tcBorders>
              <w:top w:val="single" w:sz="5" w:space="0" w:color="000000"/>
              <w:left w:val="single" w:sz="5" w:space="0" w:color="000000"/>
              <w:right w:val="single" w:sz="5" w:space="0" w:color="000000"/>
            </w:tcBorders>
            <w:shd w:val="clear" w:color="auto" w:fill="948A54"/>
            <w:tcMar>
              <w:top w:w="100" w:type="dxa"/>
              <w:left w:w="80" w:type="dxa"/>
              <w:bottom w:w="100" w:type="dxa"/>
              <w:right w:w="80" w:type="dxa"/>
            </w:tcMar>
          </w:tcPr>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r>
              <w:rPr>
                <w:b/>
                <w:color w:val="FFFFFF"/>
                <w:sz w:val="28"/>
                <w:szCs w:val="28"/>
              </w:rPr>
              <w:t>3</w:t>
            </w:r>
          </w:p>
        </w:tc>
        <w:tc>
          <w:tcPr>
            <w:tcW w:w="2955" w:type="dxa"/>
            <w:vMerge w:val="restart"/>
            <w:tcBorders>
              <w:top w:val="single" w:sz="5" w:space="0" w:color="000000"/>
              <w:left w:val="nil"/>
              <w:right w:val="single" w:sz="5" w:space="0" w:color="000000"/>
            </w:tcBorders>
            <w:shd w:val="clear" w:color="auto" w:fill="948A54"/>
            <w:tcMar>
              <w:top w:w="100" w:type="dxa"/>
              <w:left w:w="80" w:type="dxa"/>
              <w:bottom w:w="100" w:type="dxa"/>
              <w:right w:w="80" w:type="dxa"/>
            </w:tcMar>
          </w:tcPr>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p>
          <w:p w:rsidR="00782DBB" w:rsidRDefault="00782DBB">
            <w:pPr>
              <w:spacing w:before="240" w:after="0"/>
              <w:ind w:left="-60"/>
              <w:jc w:val="both"/>
              <w:rPr>
                <w:b/>
                <w:color w:val="FFFFFF"/>
                <w:sz w:val="28"/>
                <w:szCs w:val="28"/>
              </w:rPr>
            </w:pPr>
            <w:r>
              <w:rPr>
                <w:b/>
                <w:color w:val="FFFFFF"/>
                <w:sz w:val="28"/>
                <w:szCs w:val="28"/>
              </w:rPr>
              <w:t>Talento Humano</w:t>
            </w:r>
          </w:p>
        </w:tc>
        <w:tc>
          <w:tcPr>
            <w:tcW w:w="51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3.1</w:t>
            </w:r>
          </w:p>
        </w:tc>
        <w:tc>
          <w:tcPr>
            <w:tcW w:w="592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Incluir en el Plan Institucional de Capacitación temáticas relacionadas con el mejoramiento del servicio al ciudadano (cultura de servicio al ciudadano, fortalecimiento de competencias para el desarrollo de la labor de servicio, innovación en la administración pública, ética y valores del servidor público, normatividad, competencias y habilidades personales, gestión del cambio, lenguaje claro, entre otros).</w:t>
            </w:r>
          </w:p>
        </w:tc>
        <w:tc>
          <w:tcPr>
            <w:tcW w:w="343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Acciones de fortalecimiento de la cultura de servicio al ciudadano realizadas virtual o presencialmente.</w:t>
            </w:r>
          </w:p>
        </w:tc>
        <w:tc>
          <w:tcPr>
            <w:tcW w:w="175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Secretaría General /Oficina de Talento Humano / Capacitación y Bienestar</w:t>
            </w:r>
          </w:p>
        </w:tc>
        <w:tc>
          <w:tcPr>
            <w:tcW w:w="243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right"/>
            </w:pPr>
            <w:r>
              <w:t>Enero - Diciembre 2023</w:t>
            </w:r>
          </w:p>
          <w:p w:rsidR="00782DBB" w:rsidRDefault="00782DBB">
            <w:pPr>
              <w:spacing w:before="240" w:after="0"/>
              <w:ind w:left="-60"/>
              <w:jc w:val="right"/>
            </w:pPr>
            <w:r>
              <w:t xml:space="preserve"> </w:t>
            </w:r>
          </w:p>
        </w:tc>
      </w:tr>
      <w:tr w:rsidR="00782DBB" w:rsidTr="004C7CF1">
        <w:trPr>
          <w:trHeight w:val="342"/>
        </w:trPr>
        <w:tc>
          <w:tcPr>
            <w:tcW w:w="510" w:type="dxa"/>
            <w:vMerge/>
            <w:tcBorders>
              <w:left w:val="single" w:sz="5" w:space="0" w:color="000000"/>
              <w:right w:val="single" w:sz="5" w:space="0" w:color="000000"/>
            </w:tcBorders>
            <w:shd w:val="clear" w:color="auto" w:fill="948A54"/>
            <w:tcMar>
              <w:top w:w="0" w:type="dxa"/>
              <w:left w:w="70" w:type="dxa"/>
              <w:bottom w:w="0" w:type="dxa"/>
              <w:right w:w="70" w:type="dxa"/>
            </w:tcMar>
            <w:vAlign w:val="center"/>
          </w:tcPr>
          <w:p w:rsidR="00782DBB" w:rsidRDefault="00782DBB">
            <w:pPr>
              <w:widowControl w:val="0"/>
              <w:pBdr>
                <w:top w:val="nil"/>
                <w:left w:val="nil"/>
                <w:bottom w:val="nil"/>
                <w:right w:val="nil"/>
                <w:between w:val="nil"/>
              </w:pBdr>
              <w:spacing w:after="0"/>
            </w:pPr>
          </w:p>
        </w:tc>
        <w:tc>
          <w:tcPr>
            <w:tcW w:w="2955" w:type="dxa"/>
            <w:vMerge/>
            <w:tcBorders>
              <w:left w:val="single" w:sz="5" w:space="0" w:color="000000"/>
              <w:right w:val="single" w:sz="5" w:space="0" w:color="000000"/>
            </w:tcBorders>
            <w:shd w:val="clear" w:color="auto" w:fill="948A54"/>
            <w:tcMar>
              <w:top w:w="0" w:type="dxa"/>
              <w:left w:w="70" w:type="dxa"/>
              <w:bottom w:w="0" w:type="dxa"/>
              <w:right w:w="70" w:type="dxa"/>
            </w:tcMar>
            <w:vAlign w:val="center"/>
          </w:tcPr>
          <w:p w:rsidR="00782DBB" w:rsidRDefault="00782DBB">
            <w:pPr>
              <w:widowControl w:val="0"/>
              <w:pBdr>
                <w:top w:val="nil"/>
                <w:left w:val="nil"/>
                <w:bottom w:val="nil"/>
                <w:right w:val="nil"/>
                <w:between w:val="nil"/>
              </w:pBdr>
              <w:spacing w:after="0"/>
            </w:pPr>
          </w:p>
        </w:tc>
        <w:tc>
          <w:tcPr>
            <w:tcW w:w="510" w:type="dxa"/>
            <w:tcBorders>
              <w:top w:val="single" w:sz="5" w:space="0" w:color="000000"/>
              <w:left w:val="single" w:sz="5" w:space="0" w:color="000000"/>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3.3</w:t>
            </w:r>
          </w:p>
        </w:tc>
        <w:tc>
          <w:tcPr>
            <w:tcW w:w="592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Implementar jornadas de capacitación permanente en temas relacionados con el Servicio al Ciudadano e integridad en lo público</w:t>
            </w:r>
          </w:p>
        </w:tc>
        <w:tc>
          <w:tcPr>
            <w:tcW w:w="343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Capacitaciones permanentes implementadas.</w:t>
            </w:r>
          </w:p>
        </w:tc>
        <w:tc>
          <w:tcPr>
            <w:tcW w:w="175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Secretaría General /Oficina de Talento Humano / Capacitación y Bienestar</w:t>
            </w:r>
          </w:p>
        </w:tc>
        <w:tc>
          <w:tcPr>
            <w:tcW w:w="2430"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right"/>
            </w:pPr>
            <w:r>
              <w:t>Enero - Diciembre 2023</w:t>
            </w:r>
          </w:p>
        </w:tc>
      </w:tr>
      <w:tr w:rsidR="00782DBB" w:rsidTr="004C7CF1">
        <w:trPr>
          <w:trHeight w:val="342"/>
        </w:trPr>
        <w:tc>
          <w:tcPr>
            <w:tcW w:w="510" w:type="dxa"/>
            <w:vMerge/>
            <w:tcBorders>
              <w:left w:val="single" w:sz="5" w:space="0" w:color="000000"/>
              <w:right w:val="single" w:sz="5" w:space="0" w:color="000000"/>
            </w:tcBorders>
            <w:shd w:val="clear" w:color="auto" w:fill="948A54"/>
            <w:tcMar>
              <w:top w:w="0" w:type="dxa"/>
              <w:left w:w="70" w:type="dxa"/>
              <w:bottom w:w="0" w:type="dxa"/>
              <w:right w:w="70" w:type="dxa"/>
            </w:tcMar>
            <w:vAlign w:val="center"/>
          </w:tcPr>
          <w:p w:rsidR="00782DBB" w:rsidRDefault="00782DBB">
            <w:pPr>
              <w:widowControl w:val="0"/>
              <w:pBdr>
                <w:top w:val="nil"/>
                <w:left w:val="nil"/>
                <w:bottom w:val="nil"/>
                <w:right w:val="nil"/>
                <w:between w:val="nil"/>
              </w:pBdr>
              <w:spacing w:after="0"/>
              <w:rPr>
                <w:color w:val="000000"/>
              </w:rPr>
            </w:pPr>
          </w:p>
        </w:tc>
        <w:tc>
          <w:tcPr>
            <w:tcW w:w="2955" w:type="dxa"/>
            <w:vMerge/>
            <w:tcBorders>
              <w:left w:val="single" w:sz="5" w:space="0" w:color="000000"/>
              <w:right w:val="single" w:sz="5" w:space="0" w:color="000000"/>
            </w:tcBorders>
            <w:shd w:val="clear" w:color="auto" w:fill="948A54"/>
            <w:tcMar>
              <w:top w:w="0" w:type="dxa"/>
              <w:left w:w="70" w:type="dxa"/>
              <w:bottom w:w="0" w:type="dxa"/>
              <w:right w:w="70" w:type="dxa"/>
            </w:tcMar>
            <w:vAlign w:val="center"/>
          </w:tcPr>
          <w:p w:rsidR="00782DBB" w:rsidRDefault="00782DBB">
            <w:pPr>
              <w:widowControl w:val="0"/>
              <w:pBdr>
                <w:top w:val="nil"/>
                <w:left w:val="nil"/>
                <w:bottom w:val="nil"/>
                <w:right w:val="nil"/>
                <w:between w:val="nil"/>
              </w:pBdr>
              <w:spacing w:after="0"/>
              <w:rPr>
                <w:color w:val="000000"/>
              </w:rPr>
            </w:pPr>
          </w:p>
        </w:tc>
        <w:tc>
          <w:tcPr>
            <w:tcW w:w="510" w:type="dxa"/>
            <w:tcBorders>
              <w:top w:val="nil"/>
              <w:left w:val="single" w:sz="5" w:space="0" w:color="000000"/>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3.4</w:t>
            </w:r>
          </w:p>
        </w:tc>
        <w:tc>
          <w:tcPr>
            <w:tcW w:w="592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Efectuar o actualizar la caracterización de los servidores públicos</w:t>
            </w:r>
          </w:p>
        </w:tc>
        <w:tc>
          <w:tcPr>
            <w:tcW w:w="343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Caracterización de servidores públicos actualizada</w:t>
            </w:r>
          </w:p>
        </w:tc>
        <w:tc>
          <w:tcPr>
            <w:tcW w:w="175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Secretaría General /Oficina de Talento Humano / Capacitación y Bienestar</w:t>
            </w:r>
          </w:p>
        </w:tc>
        <w:tc>
          <w:tcPr>
            <w:tcW w:w="243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right"/>
            </w:pPr>
            <w:r>
              <w:t>Enero - Diciembre 2023</w:t>
            </w:r>
          </w:p>
        </w:tc>
      </w:tr>
      <w:tr w:rsidR="00782DBB">
        <w:trPr>
          <w:trHeight w:val="342"/>
        </w:trPr>
        <w:tc>
          <w:tcPr>
            <w:tcW w:w="510" w:type="dxa"/>
            <w:vMerge w:val="restart"/>
            <w:tcBorders>
              <w:top w:val="single" w:sz="8" w:space="0" w:color="000000"/>
              <w:left w:val="single" w:sz="8" w:space="0" w:color="000000"/>
              <w:right w:val="single" w:sz="4" w:space="0" w:color="000000"/>
            </w:tcBorders>
            <w:shd w:val="clear" w:color="auto" w:fill="948A54"/>
            <w:tcMar>
              <w:top w:w="0" w:type="dxa"/>
              <w:left w:w="70" w:type="dxa"/>
              <w:bottom w:w="0" w:type="dxa"/>
              <w:right w:w="70" w:type="dxa"/>
            </w:tcMar>
            <w:vAlign w:val="center"/>
          </w:tcPr>
          <w:p w:rsidR="00782DBB" w:rsidRDefault="00782DBB">
            <w:pPr>
              <w:widowControl w:val="0"/>
              <w:pBdr>
                <w:top w:val="nil"/>
                <w:left w:val="nil"/>
                <w:bottom w:val="nil"/>
                <w:right w:val="nil"/>
                <w:between w:val="nil"/>
              </w:pBdr>
              <w:spacing w:after="0"/>
            </w:pPr>
          </w:p>
        </w:tc>
        <w:tc>
          <w:tcPr>
            <w:tcW w:w="2955" w:type="dxa"/>
            <w:vMerge w:val="restart"/>
            <w:tcBorders>
              <w:top w:val="single" w:sz="8"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782DBB" w:rsidRDefault="00782DBB">
            <w:pPr>
              <w:widowControl w:val="0"/>
              <w:pBdr>
                <w:top w:val="nil"/>
                <w:left w:val="nil"/>
                <w:bottom w:val="nil"/>
                <w:right w:val="nil"/>
                <w:between w:val="nil"/>
              </w:pBdr>
              <w:spacing w:after="0"/>
            </w:pPr>
          </w:p>
        </w:tc>
        <w:tc>
          <w:tcPr>
            <w:tcW w:w="510" w:type="dxa"/>
            <w:tcBorders>
              <w:top w:val="nil"/>
              <w:left w:val="single" w:sz="5" w:space="0" w:color="000000"/>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3.5</w:t>
            </w:r>
          </w:p>
        </w:tc>
        <w:tc>
          <w:tcPr>
            <w:tcW w:w="592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Incluir dentro de las jornadas de inducción y reinducción contenidos sobre la política institucional de servicio al ciudadano.</w:t>
            </w:r>
          </w:p>
        </w:tc>
        <w:tc>
          <w:tcPr>
            <w:tcW w:w="343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Jornadas de inducción y reinducción con contenidos de servicio al ciudadano desarrollados</w:t>
            </w:r>
          </w:p>
        </w:tc>
        <w:tc>
          <w:tcPr>
            <w:tcW w:w="175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Secretaría General /Oficina de Talento Humano / Capacitación y Bienestar</w:t>
            </w:r>
          </w:p>
        </w:tc>
        <w:tc>
          <w:tcPr>
            <w:tcW w:w="243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right"/>
            </w:pPr>
            <w:r>
              <w:t>Enero - Diciembre 2023</w:t>
            </w:r>
          </w:p>
        </w:tc>
      </w:tr>
      <w:tr w:rsidR="00782DBB" w:rsidTr="008C6B36">
        <w:trPr>
          <w:trHeight w:val="342"/>
        </w:trPr>
        <w:tc>
          <w:tcPr>
            <w:tcW w:w="510" w:type="dxa"/>
            <w:vMerge/>
            <w:tcBorders>
              <w:left w:val="single" w:sz="8" w:space="0" w:color="000000"/>
              <w:right w:val="single" w:sz="4" w:space="0" w:color="000000"/>
            </w:tcBorders>
            <w:shd w:val="clear" w:color="auto" w:fill="948A54"/>
            <w:tcMar>
              <w:top w:w="0" w:type="dxa"/>
              <w:left w:w="70" w:type="dxa"/>
              <w:bottom w:w="0" w:type="dxa"/>
              <w:right w:w="70" w:type="dxa"/>
            </w:tcMar>
            <w:vAlign w:val="center"/>
          </w:tcPr>
          <w:p w:rsidR="00782DBB" w:rsidRDefault="00782DBB">
            <w:pPr>
              <w:widowControl w:val="0"/>
              <w:pBdr>
                <w:top w:val="nil"/>
                <w:left w:val="nil"/>
                <w:bottom w:val="nil"/>
                <w:right w:val="nil"/>
                <w:between w:val="nil"/>
              </w:pBdr>
              <w:spacing w:after="0"/>
            </w:pPr>
          </w:p>
        </w:tc>
        <w:tc>
          <w:tcPr>
            <w:tcW w:w="2955" w:type="dxa"/>
            <w:vMerge/>
            <w:tcBorders>
              <w:left w:val="single" w:sz="4" w:space="0" w:color="000000"/>
              <w:right w:val="single" w:sz="4" w:space="0" w:color="000000"/>
            </w:tcBorders>
            <w:shd w:val="clear" w:color="auto" w:fill="948A54"/>
            <w:tcMar>
              <w:top w:w="0" w:type="dxa"/>
              <w:left w:w="70" w:type="dxa"/>
              <w:bottom w:w="0" w:type="dxa"/>
              <w:right w:w="70" w:type="dxa"/>
            </w:tcMar>
            <w:vAlign w:val="center"/>
          </w:tcPr>
          <w:p w:rsidR="00782DBB" w:rsidRDefault="00782DBB">
            <w:pPr>
              <w:widowControl w:val="0"/>
              <w:pBdr>
                <w:top w:val="nil"/>
                <w:left w:val="nil"/>
                <w:bottom w:val="nil"/>
                <w:right w:val="nil"/>
                <w:between w:val="nil"/>
              </w:pBdr>
              <w:spacing w:after="0"/>
            </w:pPr>
          </w:p>
        </w:tc>
        <w:tc>
          <w:tcPr>
            <w:tcW w:w="510" w:type="dxa"/>
            <w:tcBorders>
              <w:top w:val="nil"/>
              <w:left w:val="single" w:sz="5" w:space="0" w:color="000000"/>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3.6</w:t>
            </w:r>
          </w:p>
        </w:tc>
        <w:tc>
          <w:tcPr>
            <w:tcW w:w="592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Promover y apropiar el código de integridad: Valores del Servicio Público como herramienta pedagógica para fortalecer la ética en lo público</w:t>
            </w:r>
          </w:p>
        </w:tc>
        <w:tc>
          <w:tcPr>
            <w:tcW w:w="343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Acciones de promoción realizadas</w:t>
            </w:r>
          </w:p>
        </w:tc>
        <w:tc>
          <w:tcPr>
            <w:tcW w:w="175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both"/>
            </w:pPr>
            <w:r>
              <w:t>Secretaría General /Oficina de Talento Humano / Capacitación y Bienestar</w:t>
            </w:r>
          </w:p>
        </w:tc>
        <w:tc>
          <w:tcPr>
            <w:tcW w:w="243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782DBB" w:rsidRDefault="00782DBB">
            <w:pPr>
              <w:spacing w:before="240" w:after="0"/>
              <w:ind w:left="-60"/>
              <w:jc w:val="right"/>
            </w:pPr>
            <w:r>
              <w:t>Enero - Diciembre 2023</w:t>
            </w:r>
          </w:p>
        </w:tc>
      </w:tr>
      <w:tr w:rsidR="005D0A28">
        <w:trPr>
          <w:trHeight w:val="1054"/>
        </w:trPr>
        <w:tc>
          <w:tcPr>
            <w:tcW w:w="510" w:type="dxa"/>
            <w:tcBorders>
              <w:top w:val="single" w:sz="5" w:space="0" w:color="000000"/>
              <w:left w:val="single" w:sz="5" w:space="0" w:color="000000"/>
              <w:bottom w:val="single" w:sz="5" w:space="0" w:color="000000"/>
              <w:right w:val="single" w:sz="5" w:space="0" w:color="000000"/>
            </w:tcBorders>
            <w:shd w:val="clear" w:color="auto" w:fill="948A54"/>
            <w:tcMar>
              <w:top w:w="100" w:type="dxa"/>
              <w:left w:w="80" w:type="dxa"/>
              <w:bottom w:w="100" w:type="dxa"/>
              <w:right w:w="80" w:type="dxa"/>
            </w:tcMar>
          </w:tcPr>
          <w:p w:rsidR="005D0A28" w:rsidRDefault="00D87929">
            <w:pPr>
              <w:spacing w:before="240" w:after="0"/>
              <w:ind w:left="-60"/>
              <w:jc w:val="both"/>
              <w:rPr>
                <w:b/>
                <w:color w:val="FFFFFF"/>
                <w:sz w:val="28"/>
                <w:szCs w:val="28"/>
              </w:rPr>
            </w:pPr>
            <w:r>
              <w:rPr>
                <w:b/>
                <w:color w:val="FFFFFF"/>
                <w:sz w:val="28"/>
                <w:szCs w:val="28"/>
              </w:rPr>
              <w:t xml:space="preserve"> </w:t>
            </w:r>
          </w:p>
          <w:p w:rsidR="005D0A28" w:rsidRDefault="00D87929">
            <w:pPr>
              <w:spacing w:before="240" w:after="0"/>
              <w:ind w:left="-60"/>
              <w:jc w:val="both"/>
              <w:rPr>
                <w:b/>
                <w:color w:val="FFFFFF"/>
                <w:sz w:val="28"/>
                <w:szCs w:val="28"/>
              </w:rPr>
            </w:pPr>
            <w:r>
              <w:rPr>
                <w:b/>
                <w:color w:val="FFFFFF"/>
                <w:sz w:val="28"/>
                <w:szCs w:val="28"/>
              </w:rPr>
              <w:t xml:space="preserve"> </w:t>
            </w:r>
          </w:p>
          <w:p w:rsidR="005D0A28" w:rsidRDefault="00D87929">
            <w:pPr>
              <w:spacing w:before="240" w:after="0"/>
              <w:ind w:left="-60"/>
              <w:jc w:val="both"/>
              <w:rPr>
                <w:b/>
                <w:color w:val="FFFFFF"/>
                <w:sz w:val="28"/>
                <w:szCs w:val="28"/>
              </w:rPr>
            </w:pPr>
            <w:r>
              <w:rPr>
                <w:b/>
                <w:color w:val="FFFFFF"/>
                <w:sz w:val="28"/>
                <w:szCs w:val="28"/>
              </w:rPr>
              <w:t>4</w:t>
            </w:r>
          </w:p>
          <w:p w:rsidR="005D0A28" w:rsidRDefault="00D87929">
            <w:pPr>
              <w:spacing w:before="240" w:after="0"/>
              <w:ind w:left="-60"/>
              <w:jc w:val="both"/>
              <w:rPr>
                <w:b/>
                <w:color w:val="FFFFFF"/>
                <w:sz w:val="28"/>
                <w:szCs w:val="28"/>
              </w:rPr>
            </w:pPr>
            <w:r>
              <w:rPr>
                <w:b/>
                <w:color w:val="FFFFFF"/>
                <w:sz w:val="28"/>
                <w:szCs w:val="28"/>
              </w:rPr>
              <w:t xml:space="preserve"> </w:t>
            </w:r>
          </w:p>
        </w:tc>
        <w:tc>
          <w:tcPr>
            <w:tcW w:w="2955" w:type="dxa"/>
            <w:tcBorders>
              <w:top w:val="single" w:sz="5" w:space="0" w:color="000000"/>
              <w:left w:val="nil"/>
              <w:bottom w:val="single" w:sz="5" w:space="0" w:color="000000"/>
              <w:right w:val="single" w:sz="5" w:space="0" w:color="000000"/>
            </w:tcBorders>
            <w:shd w:val="clear" w:color="auto" w:fill="948A54"/>
            <w:tcMar>
              <w:top w:w="100" w:type="dxa"/>
              <w:left w:w="80" w:type="dxa"/>
              <w:bottom w:w="100" w:type="dxa"/>
              <w:right w:w="80" w:type="dxa"/>
            </w:tcMar>
          </w:tcPr>
          <w:p w:rsidR="005D0A28" w:rsidRDefault="00D87929">
            <w:pPr>
              <w:spacing w:before="240" w:after="0"/>
              <w:ind w:left="-60"/>
              <w:jc w:val="both"/>
              <w:rPr>
                <w:b/>
                <w:color w:val="FFFFFF"/>
                <w:sz w:val="28"/>
                <w:szCs w:val="28"/>
              </w:rPr>
            </w:pPr>
            <w:r>
              <w:rPr>
                <w:b/>
                <w:color w:val="FFFFFF"/>
                <w:sz w:val="28"/>
                <w:szCs w:val="28"/>
              </w:rPr>
              <w:t>Relacionamiento con el Ciudadano</w:t>
            </w:r>
          </w:p>
        </w:tc>
        <w:tc>
          <w:tcPr>
            <w:tcW w:w="510"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4.1</w:t>
            </w:r>
          </w:p>
        </w:tc>
        <w:tc>
          <w:tcPr>
            <w:tcW w:w="592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 xml:space="preserve">Habilitar en el </w:t>
            </w:r>
            <w:proofErr w:type="spellStart"/>
            <w:r>
              <w:t>micrositio</w:t>
            </w:r>
            <w:proofErr w:type="spellEnd"/>
            <w:r>
              <w:t xml:space="preserve"> de servicio al ciudadano de la página web, un espacio para recaudar la percepción de los ciudadanos en el marco del portafolio de servicios que oferta la Gobernación del Magdalena</w:t>
            </w:r>
          </w:p>
        </w:tc>
        <w:tc>
          <w:tcPr>
            <w:tcW w:w="343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 xml:space="preserve">1 espacio habilitado </w:t>
            </w:r>
          </w:p>
        </w:tc>
        <w:tc>
          <w:tcPr>
            <w:tcW w:w="175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Secretaría General</w:t>
            </w:r>
          </w:p>
          <w:p w:rsidR="005D0A28" w:rsidRDefault="00D87929">
            <w:pPr>
              <w:spacing w:before="240" w:after="0"/>
              <w:ind w:left="-60"/>
              <w:jc w:val="both"/>
            </w:pPr>
            <w:r>
              <w:t>Oficina de las TIC</w:t>
            </w:r>
          </w:p>
        </w:tc>
        <w:tc>
          <w:tcPr>
            <w:tcW w:w="2430"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right"/>
            </w:pPr>
            <w:r>
              <w:t>31/12/2023</w:t>
            </w:r>
          </w:p>
        </w:tc>
      </w:tr>
      <w:tr w:rsidR="005D0A28">
        <w:trPr>
          <w:trHeight w:val="1054"/>
        </w:trPr>
        <w:tc>
          <w:tcPr>
            <w:tcW w:w="510" w:type="dxa"/>
            <w:tcBorders>
              <w:top w:val="nil"/>
              <w:left w:val="single" w:sz="5" w:space="0" w:color="000000"/>
              <w:bottom w:val="nil"/>
              <w:right w:val="single" w:sz="5" w:space="0" w:color="000000"/>
            </w:tcBorders>
            <w:shd w:val="clear" w:color="auto" w:fill="948A54"/>
            <w:tcMar>
              <w:top w:w="100" w:type="dxa"/>
              <w:left w:w="80" w:type="dxa"/>
              <w:bottom w:w="100" w:type="dxa"/>
              <w:right w:w="80" w:type="dxa"/>
            </w:tcMar>
          </w:tcPr>
          <w:p w:rsidR="005D0A28" w:rsidRDefault="00D87929">
            <w:pPr>
              <w:spacing w:before="240" w:after="0"/>
              <w:ind w:left="-60"/>
              <w:jc w:val="both"/>
              <w:rPr>
                <w:b/>
                <w:color w:val="FFFFFF"/>
                <w:sz w:val="28"/>
                <w:szCs w:val="28"/>
              </w:rPr>
            </w:pPr>
            <w:r>
              <w:rPr>
                <w:b/>
                <w:color w:val="FFFFFF"/>
                <w:sz w:val="28"/>
                <w:szCs w:val="28"/>
              </w:rPr>
              <w:lastRenderedPageBreak/>
              <w:t>5</w:t>
            </w:r>
          </w:p>
        </w:tc>
        <w:tc>
          <w:tcPr>
            <w:tcW w:w="2955" w:type="dxa"/>
            <w:tcBorders>
              <w:top w:val="nil"/>
              <w:left w:val="nil"/>
              <w:bottom w:val="nil"/>
              <w:right w:val="single" w:sz="5" w:space="0" w:color="000000"/>
            </w:tcBorders>
            <w:shd w:val="clear" w:color="auto" w:fill="948A54"/>
            <w:tcMar>
              <w:top w:w="100" w:type="dxa"/>
              <w:left w:w="80" w:type="dxa"/>
              <w:bottom w:w="100" w:type="dxa"/>
              <w:right w:w="80" w:type="dxa"/>
            </w:tcMar>
          </w:tcPr>
          <w:p w:rsidR="005D0A28" w:rsidRDefault="00D87929">
            <w:pPr>
              <w:spacing w:before="240" w:after="0"/>
              <w:ind w:left="-60"/>
              <w:jc w:val="both"/>
              <w:rPr>
                <w:b/>
                <w:color w:val="FFFFFF"/>
                <w:sz w:val="28"/>
                <w:szCs w:val="28"/>
              </w:rPr>
            </w:pPr>
            <w:r>
              <w:rPr>
                <w:b/>
                <w:color w:val="FFFFFF"/>
                <w:sz w:val="28"/>
                <w:szCs w:val="28"/>
              </w:rPr>
              <w:t>Normativo y procedimental</w:t>
            </w:r>
          </w:p>
        </w:tc>
        <w:tc>
          <w:tcPr>
            <w:tcW w:w="51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5.1</w:t>
            </w:r>
          </w:p>
        </w:tc>
        <w:tc>
          <w:tcPr>
            <w:tcW w:w="592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Elaboración semestralmente de informes de seguimiento a la Gestión de las PQRSD y solicitudes que permita medir el grado de oportunidad a la atención de las mismas, e identificar oportunidades de mejora en la prestación de los servicios. Socializar en la página web.</w:t>
            </w:r>
          </w:p>
        </w:tc>
        <w:tc>
          <w:tcPr>
            <w:tcW w:w="343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2 informes semestrales elaborados</w:t>
            </w:r>
          </w:p>
        </w:tc>
        <w:tc>
          <w:tcPr>
            <w:tcW w:w="1755"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Secretaría General</w:t>
            </w:r>
          </w:p>
          <w:p w:rsidR="005D0A28" w:rsidRDefault="00D87929">
            <w:pPr>
              <w:spacing w:before="240" w:after="0"/>
              <w:ind w:left="-60"/>
              <w:jc w:val="both"/>
            </w:pPr>
            <w:r>
              <w:t>Área de sistemas</w:t>
            </w:r>
          </w:p>
          <w:p w:rsidR="005D0A28" w:rsidRDefault="00D87929">
            <w:pPr>
              <w:spacing w:before="240" w:after="0"/>
              <w:ind w:left="-60"/>
              <w:jc w:val="both"/>
            </w:pPr>
            <w:r>
              <w:t>Oficina de las TIC</w:t>
            </w:r>
          </w:p>
        </w:tc>
        <w:tc>
          <w:tcPr>
            <w:tcW w:w="2430" w:type="dxa"/>
            <w:tcBorders>
              <w:top w:val="nil"/>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right"/>
            </w:pPr>
            <w:r>
              <w:t>31/12/2023</w:t>
            </w:r>
          </w:p>
        </w:tc>
      </w:tr>
      <w:tr w:rsidR="005D0A28">
        <w:trPr>
          <w:trHeight w:val="1054"/>
        </w:trPr>
        <w:tc>
          <w:tcPr>
            <w:tcW w:w="510" w:type="dxa"/>
            <w:tcBorders>
              <w:top w:val="single" w:sz="8" w:space="0" w:color="000000"/>
              <w:left w:val="single" w:sz="8"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2955" w:type="dxa"/>
            <w:tcBorders>
              <w:top w:val="single" w:sz="8" w:space="0" w:color="000000"/>
              <w:left w:val="single" w:sz="4" w:space="0" w:color="000000"/>
              <w:right w:val="single" w:sz="4" w:space="0" w:color="000000"/>
            </w:tcBorders>
            <w:shd w:val="clear" w:color="auto" w:fill="948A54"/>
            <w:tcMar>
              <w:top w:w="0" w:type="dxa"/>
              <w:left w:w="70" w:type="dxa"/>
              <w:bottom w:w="0" w:type="dxa"/>
              <w:right w:w="70" w:type="dxa"/>
            </w:tcMar>
            <w:vAlign w:val="center"/>
          </w:tcPr>
          <w:p w:rsidR="005D0A28" w:rsidRDefault="005D0A28">
            <w:pPr>
              <w:widowControl w:val="0"/>
              <w:pBdr>
                <w:top w:val="nil"/>
                <w:left w:val="nil"/>
                <w:bottom w:val="nil"/>
                <w:right w:val="nil"/>
                <w:between w:val="nil"/>
              </w:pBdr>
              <w:spacing w:after="0"/>
            </w:pPr>
          </w:p>
        </w:tc>
        <w:tc>
          <w:tcPr>
            <w:tcW w:w="510" w:type="dxa"/>
            <w:tcBorders>
              <w:top w:val="single" w:sz="5" w:space="0" w:color="000000"/>
              <w:left w:val="single" w:sz="5" w:space="0" w:color="000000"/>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5.2</w:t>
            </w:r>
          </w:p>
        </w:tc>
        <w:tc>
          <w:tcPr>
            <w:tcW w:w="592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Realización de campañas informativas sobre la responsabilidad de los servidores públicos frente a los derechos de los ciudadanos</w:t>
            </w:r>
          </w:p>
        </w:tc>
        <w:tc>
          <w:tcPr>
            <w:tcW w:w="343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4 campañas informativas realizadas mediante el uso de herramientas institucionales de comunicación interna</w:t>
            </w:r>
          </w:p>
        </w:tc>
        <w:tc>
          <w:tcPr>
            <w:tcW w:w="1755"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both"/>
            </w:pPr>
            <w:r>
              <w:t>Secretaría General</w:t>
            </w:r>
          </w:p>
        </w:tc>
        <w:tc>
          <w:tcPr>
            <w:tcW w:w="2430" w:type="dxa"/>
            <w:tcBorders>
              <w:top w:val="single" w:sz="5" w:space="0" w:color="000000"/>
              <w:left w:val="nil"/>
              <w:bottom w:val="single" w:sz="5" w:space="0" w:color="000000"/>
              <w:right w:val="single" w:sz="5" w:space="0" w:color="000000"/>
            </w:tcBorders>
            <w:shd w:val="clear" w:color="auto" w:fill="DBE5F1"/>
            <w:tcMar>
              <w:top w:w="100" w:type="dxa"/>
              <w:left w:w="80" w:type="dxa"/>
              <w:bottom w:w="100" w:type="dxa"/>
              <w:right w:w="80" w:type="dxa"/>
            </w:tcMar>
          </w:tcPr>
          <w:p w:rsidR="005D0A28" w:rsidRDefault="00D87929">
            <w:pPr>
              <w:spacing w:before="240" w:after="0"/>
              <w:ind w:left="-60"/>
              <w:jc w:val="right"/>
            </w:pPr>
            <w:r>
              <w:t>31/12/2023</w:t>
            </w:r>
          </w:p>
        </w:tc>
      </w:tr>
    </w:tbl>
    <w:p w:rsidR="005D0A28" w:rsidRDefault="005D0A28">
      <w:pPr>
        <w:spacing w:after="0" w:line="240" w:lineRule="auto"/>
        <w:jc w:val="both"/>
      </w:pPr>
    </w:p>
    <w:sectPr w:rsidR="005D0A28">
      <w:headerReference w:type="default" r:id="rId10"/>
      <w:pgSz w:w="20160" w:h="12240" w:orient="landscape"/>
      <w:pgMar w:top="1701" w:right="1417" w:bottom="1701"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929" w:rsidRDefault="00D87929">
      <w:pPr>
        <w:spacing w:after="0" w:line="240" w:lineRule="auto"/>
      </w:pPr>
      <w:r>
        <w:separator/>
      </w:r>
    </w:p>
  </w:endnote>
  <w:endnote w:type="continuationSeparator" w:id="0">
    <w:p w:rsidR="00D87929" w:rsidRDefault="00D87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929" w:rsidRDefault="00D87929">
      <w:pPr>
        <w:spacing w:after="0" w:line="240" w:lineRule="auto"/>
      </w:pPr>
      <w:r>
        <w:separator/>
      </w:r>
    </w:p>
  </w:footnote>
  <w:footnote w:type="continuationSeparator" w:id="0">
    <w:p w:rsidR="00D87929" w:rsidRDefault="00D879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A28" w:rsidRDefault="00D87929">
    <w:pPr>
      <w:pBdr>
        <w:top w:val="nil"/>
        <w:left w:val="nil"/>
        <w:bottom w:val="nil"/>
        <w:right w:val="nil"/>
        <w:between w:val="nil"/>
      </w:pBdr>
      <w:tabs>
        <w:tab w:val="center" w:pos="4419"/>
        <w:tab w:val="right" w:pos="8838"/>
      </w:tabs>
      <w:spacing w:after="0" w:line="240" w:lineRule="auto"/>
      <w:jc w:val="center"/>
      <w:rPr>
        <w:color w:val="000000"/>
      </w:rPr>
    </w:pPr>
    <w:r>
      <w:rPr>
        <w:noProof/>
        <w:color w:val="000000"/>
        <w:lang w:val="es-MX" w:eastAsia="es-MX"/>
      </w:rPr>
      <w:drawing>
        <wp:inline distT="0" distB="0" distL="0" distR="0">
          <wp:extent cx="11051540" cy="13779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51540" cy="13779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CO"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D0A28"/>
    <w:rsid w:val="00070E99"/>
    <w:rsid w:val="003A3809"/>
    <w:rsid w:val="00524B12"/>
    <w:rsid w:val="005D0A28"/>
    <w:rsid w:val="00782DBB"/>
    <w:rsid w:val="00973A9C"/>
    <w:rsid w:val="00AC4C7E"/>
    <w:rsid w:val="00AD0F57"/>
    <w:rsid w:val="00D87929"/>
    <w:rsid w:val="00DA3610"/>
    <w:rsid w:val="00DB6499"/>
    <w:rsid w:val="00FC63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CF19"/>
  <w15:docId w15:val="{3EDF9523-4DAA-49AB-A5CE-AE124A82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D24977"/>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8509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09A4"/>
  </w:style>
  <w:style w:type="paragraph" w:styleId="Piedepgina">
    <w:name w:val="footer"/>
    <w:basedOn w:val="Normal"/>
    <w:link w:val="PiedepginaCar"/>
    <w:uiPriority w:val="99"/>
    <w:unhideWhenUsed/>
    <w:rsid w:val="008509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09A4"/>
  </w:style>
  <w:style w:type="paragraph" w:styleId="Textodeglobo">
    <w:name w:val="Balloon Text"/>
    <w:basedOn w:val="Normal"/>
    <w:link w:val="TextodegloboCar"/>
    <w:uiPriority w:val="99"/>
    <w:semiHidden/>
    <w:unhideWhenUsed/>
    <w:rsid w:val="008509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09A4"/>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2">
    <w:name w:val="2"/>
    <w:basedOn w:val="TableNormal1"/>
    <w:rsid w:val="00D80F19"/>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ThhopYPFZjg5doWoIRsCvsAIQ==">AMUW2mWVc7CGedwGLwN/WfDCm0aHFZkVButcqUAdMMfd643ejSWpbAt9qKl6+3EdBd6onp1DpTGMMkE7v1TLppUvkXydWCrxTTFKZHhz4QWihya4krSRMnUX53ogw3jsw6Hy6RWgNA6p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2360</Words>
  <Characters>12984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Regalias10</dc:creator>
  <cp:lastModifiedBy>DESARROLLO ECONOMICO</cp:lastModifiedBy>
  <cp:revision>3</cp:revision>
  <dcterms:created xsi:type="dcterms:W3CDTF">2023-01-26T23:25:00Z</dcterms:created>
  <dcterms:modified xsi:type="dcterms:W3CDTF">2023-01-26T23:26:00Z</dcterms:modified>
</cp:coreProperties>
</file>